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0635E" w14:textId="697E8CA9" w:rsidR="00FF022C" w:rsidRPr="000902BB" w:rsidRDefault="00FF022C" w:rsidP="00FF022C">
      <w:pPr>
        <w:pStyle w:val="3GPPHeader"/>
        <w:spacing w:after="60"/>
        <w:rPr>
          <w:szCs w:val="24"/>
          <w:highlight w:val="yellow"/>
          <w:lang w:val="en-US"/>
        </w:rPr>
      </w:pPr>
      <w:r w:rsidRPr="00021A97">
        <w:rPr>
          <w:szCs w:val="24"/>
        </w:rPr>
        <w:t>3GPP TSG RAN Meeting #103</w:t>
      </w:r>
      <w:r w:rsidRPr="00021A97">
        <w:rPr>
          <w:szCs w:val="24"/>
        </w:rPr>
        <w:tab/>
        <w:t>RP-</w:t>
      </w:r>
      <w:r w:rsidR="000902BB" w:rsidRPr="000902BB">
        <w:t xml:space="preserve"> </w:t>
      </w:r>
      <w:r w:rsidR="000902BB" w:rsidRPr="000902BB">
        <w:rPr>
          <w:szCs w:val="24"/>
        </w:rPr>
        <w:t>240480</w:t>
      </w:r>
    </w:p>
    <w:p w14:paraId="2ED0C51F" w14:textId="77777777" w:rsidR="00FF022C" w:rsidRPr="00021A97" w:rsidRDefault="00FF022C" w:rsidP="00FF022C">
      <w:pPr>
        <w:keepLines/>
        <w:tabs>
          <w:tab w:val="left" w:pos="567"/>
        </w:tabs>
        <w:rPr>
          <w:rFonts w:ascii="Arial" w:hAnsi="Arial" w:cs="Arial"/>
          <w:b/>
        </w:rPr>
      </w:pPr>
      <w:r w:rsidRPr="00021A97">
        <w:rPr>
          <w:rFonts w:ascii="Arial" w:hAnsi="Arial" w:cs="Arial"/>
          <w:b/>
        </w:rPr>
        <w:t>Maastricht, Netherlands, March 18-21, 2024</w:t>
      </w:r>
    </w:p>
    <w:p w14:paraId="25979CCD" w14:textId="30215902" w:rsidR="006A45BA" w:rsidRPr="003952AA" w:rsidRDefault="0033027D" w:rsidP="0033027D">
      <w:pPr>
        <w:pStyle w:val="CRCoverPage"/>
        <w:tabs>
          <w:tab w:val="right" w:pos="9639"/>
        </w:tabs>
        <w:spacing w:after="0"/>
        <w:rPr>
          <w:b/>
          <w:noProof/>
          <w:szCs w:val="15"/>
        </w:rPr>
      </w:pPr>
      <w:r w:rsidRPr="003952AA">
        <w:rPr>
          <w:b/>
          <w:noProof/>
          <w:sz w:val="28"/>
          <w:szCs w:val="21"/>
        </w:rPr>
        <w:tab/>
      </w:r>
    </w:p>
    <w:p w14:paraId="4467352C" w14:textId="74801ACD" w:rsidR="00AE25BF" w:rsidRPr="003952AA" w:rsidRDefault="00AE25BF" w:rsidP="003952AA">
      <w:pPr>
        <w:pStyle w:val="Header"/>
        <w:tabs>
          <w:tab w:val="right" w:pos="9639"/>
        </w:tabs>
        <w:jc w:val="both"/>
        <w:rPr>
          <w:rFonts w:eastAsia="Batang" w:cs="Arial"/>
          <w:b w:val="0"/>
          <w:sz w:val="20"/>
          <w:szCs w:val="21"/>
        </w:rPr>
      </w:pPr>
    </w:p>
    <w:p w14:paraId="38EF4EA4" w14:textId="1BCE35DA" w:rsidR="003952AA" w:rsidRPr="00CC27F5" w:rsidRDefault="003952AA" w:rsidP="003952AA">
      <w:pPr>
        <w:tabs>
          <w:tab w:val="left" w:pos="1985"/>
        </w:tabs>
        <w:jc w:val="both"/>
        <w:rPr>
          <w:rFonts w:ascii="Arial" w:hAnsi="Arial"/>
        </w:rPr>
      </w:pPr>
      <w:r w:rsidRPr="00CC27F5">
        <w:rPr>
          <w:rFonts w:ascii="Arial" w:hAnsi="Arial"/>
          <w:b/>
        </w:rPr>
        <w:t>Agenda item:</w:t>
      </w:r>
      <w:r w:rsidRPr="00CC27F5">
        <w:rPr>
          <w:rFonts w:ascii="Arial" w:hAnsi="Arial"/>
        </w:rPr>
        <w:tab/>
      </w:r>
      <w:bookmarkStart w:id="0" w:name="Source"/>
      <w:bookmarkEnd w:id="0"/>
      <w:r w:rsidR="00FF022C">
        <w:rPr>
          <w:rFonts w:ascii="Arial" w:hAnsi="Arial"/>
        </w:rPr>
        <w:t>9.3.1.2</w:t>
      </w:r>
    </w:p>
    <w:p w14:paraId="4FA8BEC5" w14:textId="39B8ED8C" w:rsidR="003952AA" w:rsidRPr="00CC27F5" w:rsidRDefault="003952AA" w:rsidP="003952AA">
      <w:pPr>
        <w:tabs>
          <w:tab w:val="left" w:pos="1985"/>
        </w:tabs>
        <w:jc w:val="both"/>
        <w:rPr>
          <w:rFonts w:ascii="Arial" w:hAnsi="Arial"/>
        </w:rPr>
      </w:pPr>
      <w:r w:rsidRPr="00CC27F5">
        <w:rPr>
          <w:rFonts w:ascii="Arial" w:hAnsi="Arial"/>
          <w:b/>
        </w:rPr>
        <w:t xml:space="preserve">Source: </w:t>
      </w:r>
      <w:r w:rsidRPr="00CC27F5">
        <w:rPr>
          <w:rFonts w:ascii="Arial" w:hAnsi="Arial"/>
          <w:b/>
        </w:rPr>
        <w:tab/>
      </w:r>
      <w:r>
        <w:rPr>
          <w:rFonts w:ascii="Arial" w:hAnsi="Arial"/>
        </w:rPr>
        <w:t>CableLabs</w:t>
      </w:r>
      <w:r w:rsidR="002057C3">
        <w:rPr>
          <w:rFonts w:ascii="Arial" w:hAnsi="Arial"/>
        </w:rPr>
        <w:t>, Charter</w:t>
      </w:r>
    </w:p>
    <w:p w14:paraId="17AB7990" w14:textId="1CE63483" w:rsidR="003952AA" w:rsidRPr="00DF4042" w:rsidRDefault="003952AA" w:rsidP="003952AA">
      <w:pPr>
        <w:ind w:left="1988" w:hanging="1988"/>
        <w:jc w:val="both"/>
        <w:rPr>
          <w:rFonts w:ascii="Arial" w:hAnsi="Arial"/>
          <w:sz w:val="28"/>
        </w:rPr>
      </w:pPr>
      <w:r w:rsidRPr="00CC27F5">
        <w:rPr>
          <w:rFonts w:ascii="Arial" w:hAnsi="Arial"/>
          <w:b/>
        </w:rPr>
        <w:t>Title:</w:t>
      </w:r>
      <w:r w:rsidRPr="00CC27F5">
        <w:rPr>
          <w:rFonts w:ascii="Arial" w:hAnsi="Arial"/>
        </w:rPr>
        <w:t xml:space="preserve"> </w:t>
      </w:r>
      <w:r w:rsidRPr="00CC27F5">
        <w:rPr>
          <w:rFonts w:ascii="Arial" w:hAnsi="Arial"/>
          <w:sz w:val="22"/>
        </w:rPr>
        <w:tab/>
      </w:r>
      <w:r w:rsidR="00B06477">
        <w:rPr>
          <w:rFonts w:ascii="Arial" w:hAnsi="Arial"/>
          <w:sz w:val="22"/>
        </w:rPr>
        <w:t>Discussion on Rel-19 S</w:t>
      </w:r>
      <w:r w:rsidR="00FF022C">
        <w:rPr>
          <w:rFonts w:ascii="Arial" w:hAnsi="Arial"/>
        </w:rPr>
        <w:t xml:space="preserve">BFD </w:t>
      </w:r>
      <w:r w:rsidR="00B06477">
        <w:rPr>
          <w:rFonts w:ascii="Arial" w:hAnsi="Arial"/>
        </w:rPr>
        <w:t>WID</w:t>
      </w:r>
      <w:r w:rsidR="000902BB">
        <w:rPr>
          <w:rFonts w:ascii="Arial" w:hAnsi="Arial"/>
        </w:rPr>
        <w:t xml:space="preserve"> Clarification</w:t>
      </w:r>
    </w:p>
    <w:p w14:paraId="286355AB" w14:textId="1D663B8C" w:rsidR="003952AA" w:rsidRDefault="003952AA" w:rsidP="003952AA">
      <w:pPr>
        <w:tabs>
          <w:tab w:val="left" w:pos="1985"/>
        </w:tabs>
        <w:ind w:right="-441"/>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w:t>
      </w:r>
      <w:r w:rsidR="00157E23">
        <w:rPr>
          <w:rFonts w:ascii="Arial" w:hAnsi="Arial"/>
        </w:rPr>
        <w:t>and Decision</w:t>
      </w:r>
    </w:p>
    <w:p w14:paraId="065EF713" w14:textId="77777777" w:rsidR="00EA31E6" w:rsidRDefault="00EA31E6" w:rsidP="003952AA">
      <w:pPr>
        <w:tabs>
          <w:tab w:val="left" w:pos="1985"/>
        </w:tabs>
        <w:ind w:right="-441"/>
        <w:jc w:val="both"/>
        <w:rPr>
          <w:rFonts w:ascii="Arial" w:hAnsi="Arial"/>
        </w:rPr>
      </w:pPr>
    </w:p>
    <w:p w14:paraId="220741D9" w14:textId="77777777" w:rsidR="00EA31E6" w:rsidRDefault="00EA31E6" w:rsidP="003952AA">
      <w:pPr>
        <w:tabs>
          <w:tab w:val="left" w:pos="1985"/>
        </w:tabs>
        <w:ind w:right="-441"/>
        <w:jc w:val="both"/>
        <w:rPr>
          <w:rFonts w:ascii="Arial" w:hAnsi="Arial"/>
        </w:rPr>
      </w:pPr>
    </w:p>
    <w:p w14:paraId="1B13C3BE" w14:textId="04393733" w:rsidR="003952AA" w:rsidRDefault="00154025" w:rsidP="003952AA">
      <w:pPr>
        <w:tabs>
          <w:tab w:val="left" w:pos="1985"/>
        </w:tabs>
        <w:ind w:right="-441"/>
        <w:jc w:val="both"/>
        <w:rPr>
          <w:rFonts w:ascii="Arial" w:hAnsi="Arial"/>
        </w:rPr>
      </w:pPr>
      <w:r>
        <w:rPr>
          <w:rFonts w:ascii="Arial" w:hAnsi="Arial"/>
        </w:rPr>
        <w:t xml:space="preserve"> </w:t>
      </w:r>
    </w:p>
    <w:p w14:paraId="1F05BA34" w14:textId="3F6E831C" w:rsidR="00E07FF4" w:rsidRDefault="00E07FF4" w:rsidP="00E07FF4">
      <w:pPr>
        <w:pStyle w:val="Heading1"/>
        <w:numPr>
          <w:ilvl w:val="0"/>
          <w:numId w:val="15"/>
        </w:numPr>
      </w:pPr>
      <w:r>
        <w:t>Introduction</w:t>
      </w:r>
    </w:p>
    <w:p w14:paraId="6F05EA79" w14:textId="0DB93681" w:rsidR="00744EA8" w:rsidRDefault="00C474BA" w:rsidP="00FF022C">
      <w:pPr>
        <w:jc w:val="both"/>
        <w:rPr>
          <w:lang w:val="en-GB" w:eastAsia="zh-CN"/>
        </w:rPr>
      </w:pPr>
      <w:r>
        <w:rPr>
          <w:lang w:val="en-GB" w:eastAsia="zh-CN"/>
        </w:rPr>
        <w:t xml:space="preserve">Extensive discussions </w:t>
      </w:r>
      <w:r w:rsidR="0038414F">
        <w:rPr>
          <w:lang w:val="en-GB" w:eastAsia="zh-CN"/>
        </w:rPr>
        <w:t>regarding</w:t>
      </w:r>
      <w:r>
        <w:rPr>
          <w:lang w:val="en-GB" w:eastAsia="zh-CN"/>
        </w:rPr>
        <w:t xml:space="preserve"> inter-operator coexistence assurance in duplexing enhancement occurred in RANP#102</w:t>
      </w:r>
      <w:r w:rsidR="0038414F">
        <w:rPr>
          <w:lang w:val="en-GB" w:eastAsia="zh-CN"/>
        </w:rPr>
        <w:t>. The NR</w:t>
      </w:r>
      <w:r>
        <w:rPr>
          <w:lang w:val="en-GB" w:eastAsia="zh-CN"/>
        </w:rPr>
        <w:t xml:space="preserve"> duplex </w:t>
      </w:r>
      <w:r w:rsidR="0038414F">
        <w:rPr>
          <w:lang w:val="en-GB" w:eastAsia="zh-CN"/>
        </w:rPr>
        <w:t xml:space="preserve">enhancement (SBFD) </w:t>
      </w:r>
      <w:r>
        <w:rPr>
          <w:lang w:val="en-GB" w:eastAsia="zh-CN"/>
        </w:rPr>
        <w:t xml:space="preserve">WID [1] captured the </w:t>
      </w:r>
      <w:r w:rsidR="00F541CA">
        <w:rPr>
          <w:lang w:val="en-GB" w:eastAsia="zh-CN"/>
        </w:rPr>
        <w:t xml:space="preserve">assumption </w:t>
      </w:r>
      <w:r w:rsidR="0038414F">
        <w:rPr>
          <w:lang w:val="en-GB" w:eastAsia="zh-CN"/>
        </w:rPr>
        <w:t>that</w:t>
      </w:r>
      <w:r w:rsidR="00F541CA">
        <w:rPr>
          <w:lang w:val="en-GB" w:eastAsia="zh-CN"/>
        </w:rPr>
        <w:t xml:space="preserve"> “</w:t>
      </w:r>
      <w:r w:rsidR="00F541CA" w:rsidRPr="00F541CA">
        <w:rPr>
          <w:lang w:val="en-GB" w:eastAsia="zh-CN"/>
        </w:rPr>
        <w:t>Mechanisms for SBFD operation shall also consider the adjacent channel coexistence between two operators</w:t>
      </w:r>
      <w:r w:rsidR="00F541CA">
        <w:rPr>
          <w:lang w:val="en-GB" w:eastAsia="zh-CN"/>
        </w:rPr>
        <w:t xml:space="preserve">”. </w:t>
      </w:r>
      <w:r w:rsidR="007C20C0">
        <w:rPr>
          <w:lang w:val="en-GB" w:eastAsia="zh-CN"/>
        </w:rPr>
        <w:t>Specially, SBFD operation of an operator overlaps in time with uplink operation of another operator has significant performance impact on the uplink operation</w:t>
      </w:r>
      <w:r w:rsidR="00FF022C">
        <w:rPr>
          <w:lang w:val="en-GB" w:eastAsia="zh-CN"/>
        </w:rPr>
        <w:t xml:space="preserve"> of the </w:t>
      </w:r>
      <w:r w:rsidR="0038414F">
        <w:rPr>
          <w:lang w:val="en-GB" w:eastAsia="zh-CN"/>
        </w:rPr>
        <w:t>latter, which has been also demonstrated by coexistence evaluations [2]</w:t>
      </w:r>
      <w:r w:rsidR="007C20C0">
        <w:rPr>
          <w:lang w:val="en-GB" w:eastAsia="zh-CN"/>
        </w:rPr>
        <w:t xml:space="preserve">. </w:t>
      </w:r>
      <w:r w:rsidR="000A2B51">
        <w:rPr>
          <w:lang w:val="en-GB" w:eastAsia="zh-CN"/>
        </w:rPr>
        <w:t xml:space="preserve">This has been captured in WID as a note and allow a UL </w:t>
      </w:r>
      <w:proofErr w:type="spellStart"/>
      <w:r w:rsidR="000A2B51">
        <w:rPr>
          <w:lang w:val="en-GB" w:eastAsia="zh-CN"/>
        </w:rPr>
        <w:t>subband</w:t>
      </w:r>
      <w:proofErr w:type="spellEnd"/>
      <w:r w:rsidR="000A2B51">
        <w:rPr>
          <w:lang w:val="en-GB" w:eastAsia="zh-CN"/>
        </w:rPr>
        <w:t xml:space="preserve"> configuration for SBFD-aware UEs in non-legacy UL symbols, </w:t>
      </w:r>
      <w:proofErr w:type="gramStart"/>
      <w:r w:rsidR="000A2B51">
        <w:rPr>
          <w:lang w:val="en-GB" w:eastAsia="zh-CN"/>
        </w:rPr>
        <w:t>yet,</w:t>
      </w:r>
      <w:proofErr w:type="gramEnd"/>
      <w:r w:rsidR="000A2B51">
        <w:rPr>
          <w:lang w:val="en-GB" w:eastAsia="zh-CN"/>
        </w:rPr>
        <w:t xml:space="preserve"> it is unclear whether this ensures no SBFD operation overlapping with inter-operator UL symbols.</w:t>
      </w:r>
      <w:r w:rsidR="00A115A2">
        <w:rPr>
          <w:lang w:val="en-GB" w:eastAsia="zh-CN"/>
        </w:rPr>
        <w:t xml:space="preserve"> </w:t>
      </w:r>
      <w:r w:rsidR="000A2B51">
        <w:rPr>
          <w:lang w:val="en-GB" w:eastAsia="zh-CN"/>
        </w:rPr>
        <w:t xml:space="preserve">We </w:t>
      </w:r>
      <w:r w:rsidR="00A115A2">
        <w:rPr>
          <w:lang w:val="en-GB" w:eastAsia="zh-CN"/>
        </w:rPr>
        <w:t xml:space="preserve">propose to clarify meaning of ‘legacy UL symbols’ that should include all symbols indicated as UL to any serving UE and/or intended UL symbols based on a synchronized TDD DL/UL configuration among adjacent inter-operator. </w:t>
      </w:r>
    </w:p>
    <w:p w14:paraId="24C47A79" w14:textId="64F9FE51" w:rsidR="00E07FF4" w:rsidRDefault="00CA7C20" w:rsidP="00E07FF4">
      <w:pPr>
        <w:pStyle w:val="Heading1"/>
        <w:numPr>
          <w:ilvl w:val="0"/>
          <w:numId w:val="15"/>
        </w:numPr>
      </w:pPr>
      <w:r>
        <w:t>Discussions</w:t>
      </w:r>
    </w:p>
    <w:p w14:paraId="40983629" w14:textId="4E7798F9" w:rsidR="00FF022C" w:rsidRDefault="00FF022C" w:rsidP="00FF022C">
      <w:pPr>
        <w:spacing w:after="160" w:line="256" w:lineRule="auto"/>
        <w:ind w:right="-99"/>
        <w:rPr>
          <w:rFonts w:eastAsia="Malgun Gothic"/>
        </w:rPr>
      </w:pPr>
      <w:r>
        <w:rPr>
          <w:rFonts w:eastAsia="Malgun Gothic"/>
        </w:rPr>
        <w:t xml:space="preserve">The </w:t>
      </w:r>
      <w:proofErr w:type="spellStart"/>
      <w:r>
        <w:rPr>
          <w:rFonts w:eastAsia="Malgun Gothic"/>
        </w:rPr>
        <w:t>Subband</w:t>
      </w:r>
      <w:proofErr w:type="spellEnd"/>
      <w:r>
        <w:rPr>
          <w:rFonts w:eastAsia="Malgun Gothic"/>
        </w:rPr>
        <w:t xml:space="preserve"> full duplexing WID [1] aims to address fair coexistence among operators by </w:t>
      </w:r>
      <w:r w:rsidR="003E065A">
        <w:rPr>
          <w:rFonts w:eastAsia="Malgun Gothic"/>
        </w:rPr>
        <w:t xml:space="preserve">having the following assumptions: </w:t>
      </w:r>
    </w:p>
    <w:p w14:paraId="5B90395F" w14:textId="77777777" w:rsidR="003E065A" w:rsidRPr="00F541CA" w:rsidRDefault="003E065A" w:rsidP="003E065A">
      <w:pPr>
        <w:numPr>
          <w:ilvl w:val="0"/>
          <w:numId w:val="21"/>
        </w:numPr>
        <w:spacing w:after="160" w:line="256" w:lineRule="auto"/>
        <w:ind w:right="-99"/>
        <w:rPr>
          <w:rFonts w:eastAsia="Malgun Gothic"/>
          <w:highlight w:val="yellow"/>
        </w:rPr>
      </w:pPr>
      <w:r w:rsidRPr="00F541CA">
        <w:rPr>
          <w:rFonts w:eastAsia="Malgun Gothic"/>
          <w:highlight w:val="yellow"/>
        </w:rPr>
        <w:t xml:space="preserve">One UL </w:t>
      </w:r>
      <w:proofErr w:type="spellStart"/>
      <w:r w:rsidRPr="00F541CA">
        <w:rPr>
          <w:rFonts w:eastAsia="Malgun Gothic"/>
          <w:highlight w:val="yellow"/>
        </w:rPr>
        <w:t>subband</w:t>
      </w:r>
      <w:proofErr w:type="spellEnd"/>
      <w:r w:rsidRPr="00F541CA">
        <w:rPr>
          <w:rFonts w:eastAsia="Malgun Gothic"/>
          <w:highlight w:val="yellow"/>
        </w:rPr>
        <w:t xml:space="preserve"> for SBFD operation in an SBFD symbol (excluding legacy UL symbol/slot) within a TDD carrier</w:t>
      </w:r>
    </w:p>
    <w:p w14:paraId="46F5C641" w14:textId="336487F9" w:rsidR="003E065A" w:rsidRDefault="003E065A" w:rsidP="003E065A">
      <w:pPr>
        <w:numPr>
          <w:ilvl w:val="0"/>
          <w:numId w:val="21"/>
        </w:numPr>
        <w:spacing w:after="160" w:line="256" w:lineRule="auto"/>
        <w:ind w:right="-99"/>
        <w:rPr>
          <w:rFonts w:eastAsia="Malgun Gothic"/>
        </w:rPr>
      </w:pPr>
      <w:r w:rsidRPr="00F541CA">
        <w:rPr>
          <w:highlight w:val="yellow"/>
          <w:lang w:eastAsia="zh-CN"/>
        </w:rPr>
        <w:t xml:space="preserve">Mechanisms for SBFD operation shall also consider the </w:t>
      </w:r>
      <w:r w:rsidRPr="00F541CA">
        <w:rPr>
          <w:rFonts w:eastAsia="Malgun Gothic"/>
          <w:highlight w:val="yellow"/>
        </w:rPr>
        <w:t>adjacent channel coexistence between two operators</w:t>
      </w:r>
    </w:p>
    <w:p w14:paraId="32C13692" w14:textId="0FCC73DF" w:rsidR="003E065A" w:rsidRPr="003E0D9F" w:rsidRDefault="003E065A" w:rsidP="00A9212E">
      <w:pPr>
        <w:spacing w:after="160" w:line="256" w:lineRule="auto"/>
        <w:ind w:right="-99"/>
        <w:jc w:val="both"/>
        <w:rPr>
          <w:rFonts w:eastAsia="Malgun Gothic"/>
        </w:rPr>
      </w:pPr>
      <w:r>
        <w:rPr>
          <w:rFonts w:eastAsia="Malgun Gothic"/>
        </w:rPr>
        <w:t xml:space="preserve">However, it is not explicitly mentioned what does ‘legacy UL symbol/slot’ mean. Also, whether this assumption </w:t>
      </w:r>
      <w:r w:rsidR="0038414F">
        <w:rPr>
          <w:rFonts w:eastAsia="Malgun Gothic"/>
        </w:rPr>
        <w:t>is applied to behaviors of</w:t>
      </w:r>
      <w:r>
        <w:rPr>
          <w:rFonts w:eastAsia="Malgun Gothic"/>
        </w:rPr>
        <w:t xml:space="preserve"> base station or UE. In our view, the assumptions were made for system level evaluations, and the evaluation assumed cell-specific behavior i.e., a single UL </w:t>
      </w:r>
      <w:proofErr w:type="spellStart"/>
      <w:r>
        <w:rPr>
          <w:rFonts w:eastAsia="Malgun Gothic"/>
        </w:rPr>
        <w:t>subband</w:t>
      </w:r>
      <w:proofErr w:type="spellEnd"/>
      <w:r>
        <w:rPr>
          <w:rFonts w:eastAsia="Malgun Gothic"/>
        </w:rPr>
        <w:t xml:space="preserve"> is assumed for SBFD operation in legacy DL symbols/slots. We believe such assumptions should be clearly captured in the specifications so that undesired operations are not allowed. One possible undesired operation which potentially leads considerable impacts is shown in Figure </w:t>
      </w:r>
      <w:r w:rsidR="00150DC9">
        <w:rPr>
          <w:rFonts w:eastAsia="Malgun Gothic"/>
        </w:rPr>
        <w:t>1</w:t>
      </w:r>
      <w:r>
        <w:rPr>
          <w:rFonts w:eastAsia="Malgun Gothic"/>
        </w:rPr>
        <w:t xml:space="preserve">. </w:t>
      </w:r>
    </w:p>
    <w:p w14:paraId="5D3474E0" w14:textId="0D5EEE31" w:rsidR="003E065A" w:rsidRDefault="00EC7C19" w:rsidP="00EC7C19">
      <w:pPr>
        <w:spacing w:after="160" w:line="256" w:lineRule="auto"/>
        <w:ind w:right="-99"/>
        <w:jc w:val="center"/>
        <w:rPr>
          <w:noProof/>
        </w:rPr>
      </w:pPr>
      <w:r w:rsidRPr="00EC7C19">
        <w:rPr>
          <w:rFonts w:eastAsia="Malgun Gothic"/>
          <w:noProof/>
        </w:rPr>
        <w:drawing>
          <wp:inline distT="0" distB="0" distL="0" distR="0" wp14:anchorId="554C9990" wp14:editId="55D76A71">
            <wp:extent cx="2536466" cy="11919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79170" cy="1211980"/>
                    </a:xfrm>
                    <a:prstGeom prst="rect">
                      <a:avLst/>
                    </a:prstGeom>
                  </pic:spPr>
                </pic:pic>
              </a:graphicData>
            </a:graphic>
          </wp:inline>
        </w:drawing>
      </w:r>
      <w:r w:rsidR="00242315" w:rsidRPr="00242315">
        <w:rPr>
          <w:noProof/>
        </w:rPr>
        <w:t xml:space="preserve"> </w:t>
      </w:r>
      <w:r w:rsidR="00242315" w:rsidRPr="00242315">
        <w:rPr>
          <w:rFonts w:eastAsia="Malgun Gothic"/>
          <w:noProof/>
        </w:rPr>
        <w:drawing>
          <wp:inline distT="0" distB="0" distL="0" distR="0" wp14:anchorId="28293095" wp14:editId="1B4B1F53">
            <wp:extent cx="2750455" cy="11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2017" cy="1227864"/>
                    </a:xfrm>
                    <a:prstGeom prst="rect">
                      <a:avLst/>
                    </a:prstGeom>
                  </pic:spPr>
                </pic:pic>
              </a:graphicData>
            </a:graphic>
          </wp:inline>
        </w:drawing>
      </w:r>
    </w:p>
    <w:p w14:paraId="0DE4907E" w14:textId="5FDB4894" w:rsidR="00242315" w:rsidRPr="00242315" w:rsidRDefault="00242315" w:rsidP="00242315">
      <w:pPr>
        <w:pStyle w:val="ListParagraph"/>
        <w:numPr>
          <w:ilvl w:val="0"/>
          <w:numId w:val="26"/>
        </w:numPr>
        <w:spacing w:after="160" w:line="256" w:lineRule="auto"/>
        <w:ind w:right="-99"/>
        <w:jc w:val="center"/>
        <w:rPr>
          <w:rFonts w:eastAsia="Malgun Gothic"/>
          <w:sz w:val="16"/>
          <w:szCs w:val="16"/>
        </w:rPr>
      </w:pPr>
      <w:r w:rsidRPr="00242315">
        <w:rPr>
          <w:rFonts w:eastAsia="Malgun Gothic"/>
          <w:sz w:val="16"/>
          <w:szCs w:val="16"/>
        </w:rPr>
        <w:t>Separate DL/UL BWP</w:t>
      </w:r>
      <w:r>
        <w:rPr>
          <w:rFonts w:eastAsia="Malgun Gothic"/>
          <w:sz w:val="16"/>
          <w:szCs w:val="16"/>
        </w:rPr>
        <w:t xml:space="preserve">                                                                  </w:t>
      </w:r>
      <w:proofErr w:type="gramStart"/>
      <w:r>
        <w:rPr>
          <w:rFonts w:eastAsia="Malgun Gothic"/>
          <w:sz w:val="16"/>
          <w:szCs w:val="16"/>
        </w:rPr>
        <w:t xml:space="preserve">  </w:t>
      </w:r>
      <w:r w:rsidRPr="00242315">
        <w:rPr>
          <w:rFonts w:eastAsia="Malgun Gothic"/>
          <w:sz w:val="16"/>
          <w:szCs w:val="16"/>
        </w:rPr>
        <w:t xml:space="preserve"> (</w:t>
      </w:r>
      <w:proofErr w:type="gramEnd"/>
      <w:r w:rsidRPr="00242315">
        <w:rPr>
          <w:rFonts w:eastAsia="Malgun Gothic"/>
          <w:sz w:val="16"/>
          <w:szCs w:val="16"/>
        </w:rPr>
        <w:t xml:space="preserve">b) Overlap UL </w:t>
      </w:r>
      <w:proofErr w:type="spellStart"/>
      <w:r w:rsidRPr="00242315">
        <w:rPr>
          <w:rFonts w:eastAsia="Malgun Gothic"/>
          <w:sz w:val="16"/>
          <w:szCs w:val="16"/>
        </w:rPr>
        <w:t>subband</w:t>
      </w:r>
      <w:proofErr w:type="spellEnd"/>
      <w:r w:rsidRPr="00242315">
        <w:rPr>
          <w:rFonts w:eastAsia="Malgun Gothic"/>
          <w:sz w:val="16"/>
          <w:szCs w:val="16"/>
        </w:rPr>
        <w:t xml:space="preserve"> with UL BWP</w:t>
      </w:r>
    </w:p>
    <w:p w14:paraId="2D9F499F" w14:textId="5C74F16E" w:rsidR="003E065A" w:rsidRDefault="003E065A" w:rsidP="003E065A">
      <w:pPr>
        <w:pStyle w:val="Caption"/>
        <w:jc w:val="center"/>
        <w:rPr>
          <w:rFonts w:eastAsia="Malgun Gothic"/>
        </w:rPr>
      </w:pPr>
      <w:r>
        <w:t xml:space="preserve">Figure </w:t>
      </w:r>
      <w:fldSimple w:instr=" SEQ Figure \* ARABIC ">
        <w:r>
          <w:rPr>
            <w:noProof/>
          </w:rPr>
          <w:t>1</w:t>
        </w:r>
      </w:fldSimple>
      <w:r>
        <w:t>. Example</w:t>
      </w:r>
      <w:r w:rsidR="00242315">
        <w:t>s</w:t>
      </w:r>
      <w:r>
        <w:t xml:space="preserve"> of </w:t>
      </w:r>
      <w:r w:rsidR="00893306">
        <w:t xml:space="preserve">Undesired </w:t>
      </w:r>
      <w:r>
        <w:t xml:space="preserve">SBFD </w:t>
      </w:r>
      <w:r w:rsidR="00893306">
        <w:t>O</w:t>
      </w:r>
      <w:r>
        <w:t>peration</w:t>
      </w:r>
    </w:p>
    <w:p w14:paraId="23EA2C8F" w14:textId="5785B000" w:rsidR="00FF022C" w:rsidRDefault="003E065A" w:rsidP="00A9212E">
      <w:pPr>
        <w:spacing w:after="160" w:line="256" w:lineRule="auto"/>
        <w:ind w:right="-99"/>
        <w:jc w:val="both"/>
        <w:rPr>
          <w:rFonts w:eastAsia="Malgun Gothic"/>
        </w:rPr>
      </w:pPr>
      <w:r>
        <w:rPr>
          <w:rFonts w:eastAsia="Malgun Gothic"/>
        </w:rPr>
        <w:t>If the assumptions are kept from only UE-perspective, it is possible</w:t>
      </w:r>
      <w:r w:rsidR="00242315">
        <w:rPr>
          <w:rFonts w:eastAsia="Malgun Gothic"/>
        </w:rPr>
        <w:t>, as shown in Figure 1(a).,</w:t>
      </w:r>
      <w:r>
        <w:rPr>
          <w:rFonts w:eastAsia="Malgun Gothic"/>
        </w:rPr>
        <w:t xml:space="preserve"> that a base station configures a first BWP (in upper part of carrier) to UE1 </w:t>
      </w:r>
      <w:r w:rsidR="00EC7C19">
        <w:rPr>
          <w:rFonts w:eastAsia="Malgun Gothic"/>
        </w:rPr>
        <w:t>and indicates flexible symbols</w:t>
      </w:r>
      <w:r w:rsidR="00893306">
        <w:rPr>
          <w:rFonts w:eastAsia="Malgun Gothic"/>
        </w:rPr>
        <w:t xml:space="preserve"> </w:t>
      </w:r>
      <w:r w:rsidR="00893306">
        <w:rPr>
          <w:rFonts w:eastAsia="Malgun Gothic"/>
        </w:rPr>
        <w:lastRenderedPageBreak/>
        <w:t>(configured by TDD-UL-DL-</w:t>
      </w:r>
      <w:proofErr w:type="spellStart"/>
      <w:r w:rsidR="00893306">
        <w:rPr>
          <w:rFonts w:eastAsia="Malgun Gothic"/>
        </w:rPr>
        <w:t>ConfigCommon</w:t>
      </w:r>
      <w:proofErr w:type="spellEnd"/>
      <w:r w:rsidR="00893306">
        <w:rPr>
          <w:rFonts w:eastAsia="Malgun Gothic"/>
        </w:rPr>
        <w:t>)</w:t>
      </w:r>
      <w:r w:rsidR="00EC7C19">
        <w:rPr>
          <w:rFonts w:eastAsia="Malgun Gothic"/>
        </w:rPr>
        <w:t xml:space="preserve"> as SBFD</w:t>
      </w:r>
      <w:r w:rsidR="00893306">
        <w:rPr>
          <w:rFonts w:eastAsia="Malgun Gothic"/>
        </w:rPr>
        <w:t xml:space="preserve">/DL </w:t>
      </w:r>
      <w:r w:rsidR="00EC7C19">
        <w:rPr>
          <w:rFonts w:eastAsia="Malgun Gothic"/>
        </w:rPr>
        <w:t xml:space="preserve">symbols </w:t>
      </w:r>
      <w:r w:rsidR="00893306">
        <w:rPr>
          <w:rFonts w:eastAsia="Malgun Gothic"/>
        </w:rPr>
        <w:t>to UE1</w:t>
      </w:r>
      <w:r w:rsidR="00EC7C19">
        <w:rPr>
          <w:rFonts w:eastAsia="Malgun Gothic"/>
        </w:rPr>
        <w:t xml:space="preserve">. The base station, for the same time resources, configures a second BWP (in lower part of the carrier) to UE2 and indicates flexible symbols as UL symbols. </w:t>
      </w:r>
      <w:r w:rsidR="00242315">
        <w:rPr>
          <w:rFonts w:eastAsia="Malgun Gothic"/>
        </w:rPr>
        <w:t xml:space="preserve">In another example of Figure 1(b), the base station may configure UL BWP of UE2 overlaps with a UL </w:t>
      </w:r>
      <w:proofErr w:type="spellStart"/>
      <w:r w:rsidR="00242315">
        <w:rPr>
          <w:rFonts w:eastAsia="Malgun Gothic"/>
        </w:rPr>
        <w:t>subband</w:t>
      </w:r>
      <w:proofErr w:type="spellEnd"/>
      <w:r w:rsidR="00242315">
        <w:rPr>
          <w:rFonts w:eastAsia="Malgun Gothic"/>
        </w:rPr>
        <w:t xml:space="preserve"> of SBFD aware UE1</w:t>
      </w:r>
      <w:r w:rsidR="00E24537">
        <w:rPr>
          <w:rFonts w:eastAsia="Malgun Gothic"/>
        </w:rPr>
        <w:t xml:space="preserve">. The base station may indicate SBFD/DL on the flexible symbols for UE1 while indicating UL to </w:t>
      </w:r>
      <w:r w:rsidR="00CA7636">
        <w:rPr>
          <w:rFonts w:eastAsia="Malgun Gothic"/>
        </w:rPr>
        <w:t xml:space="preserve">legacy </w:t>
      </w:r>
      <w:r w:rsidR="00E24537">
        <w:rPr>
          <w:rFonts w:eastAsia="Malgun Gothic"/>
        </w:rPr>
        <w:t xml:space="preserve">UE2. </w:t>
      </w:r>
    </w:p>
    <w:p w14:paraId="7AA9ACB5" w14:textId="1A0569D5" w:rsidR="00336B2E" w:rsidRDefault="00CC0977" w:rsidP="00A9212E">
      <w:pPr>
        <w:spacing w:after="160" w:line="256" w:lineRule="auto"/>
        <w:ind w:right="-99"/>
        <w:jc w:val="both"/>
        <w:rPr>
          <w:rFonts w:eastAsia="Malgun Gothic"/>
        </w:rPr>
      </w:pPr>
      <w:r>
        <w:rPr>
          <w:rFonts w:eastAsia="Malgun Gothic"/>
        </w:rPr>
        <w:t xml:space="preserve">Such behavior is certainly not aligned with the assumptions, however, current WID does not clearly state how to avoid this case to occur. If this is allowed, this will significantly impact inter-operator coexistence in co-channel as well as adjacent channels. For example, to address inter-operator coexistence, in many cases, TDD DL/UL configurations among operators are assumed to be synchronized. </w:t>
      </w:r>
      <w:r w:rsidR="00336B2E">
        <w:rPr>
          <w:rFonts w:eastAsia="Malgun Gothic"/>
        </w:rPr>
        <w:t xml:space="preserve">With the synchronized TDD DL/UL configuration, each operator may determine DL resource in time as downlink or flexible or SBFD symbols. However, to avoid BS-to-BS interference on other operators, it is not expected to change any UL resource to downlink or SBFD symbols. </w:t>
      </w:r>
    </w:p>
    <w:p w14:paraId="5CB9D383" w14:textId="3C509B23" w:rsidR="008F74AE" w:rsidRDefault="008F74AE" w:rsidP="00A9212E">
      <w:pPr>
        <w:spacing w:after="160" w:line="256" w:lineRule="auto"/>
        <w:ind w:right="-99"/>
        <w:jc w:val="both"/>
        <w:rPr>
          <w:rFonts w:eastAsia="Malgun Gothic"/>
        </w:rPr>
      </w:pPr>
      <w:r>
        <w:rPr>
          <w:rFonts w:eastAsia="Malgun Gothic"/>
        </w:rPr>
        <w:t xml:space="preserve">With this assumption, flexible symbols shown in Figure 1 could be assumed </w:t>
      </w:r>
    </w:p>
    <w:p w14:paraId="7B5C6108" w14:textId="2BA39EB7" w:rsidR="008F74AE" w:rsidRDefault="008F74AE" w:rsidP="008F74AE">
      <w:pPr>
        <w:pStyle w:val="ListParagraph"/>
        <w:numPr>
          <w:ilvl w:val="0"/>
          <w:numId w:val="25"/>
        </w:numPr>
        <w:spacing w:after="160" w:line="256" w:lineRule="auto"/>
        <w:ind w:right="-99"/>
        <w:jc w:val="both"/>
        <w:rPr>
          <w:rFonts w:eastAsia="Malgun Gothic"/>
        </w:rPr>
      </w:pPr>
      <w:r>
        <w:rPr>
          <w:rFonts w:eastAsia="Malgun Gothic"/>
        </w:rPr>
        <w:t xml:space="preserve">Overlaps with DL resources according to the synchronized TDD DL/UL configuration for co-channel/adjacent channel operators: In this case, it is not expected to indicate UL resource to UE2. The base station should not indicate SBFD to a serving UE while it indicates UL resource to another serving UE for the same time resource in a carrier. </w:t>
      </w:r>
    </w:p>
    <w:p w14:paraId="04F257C9" w14:textId="50B69FD4" w:rsidR="008F74AE" w:rsidRPr="008F74AE" w:rsidRDefault="008F74AE" w:rsidP="008F74AE">
      <w:pPr>
        <w:pStyle w:val="ListParagraph"/>
        <w:numPr>
          <w:ilvl w:val="0"/>
          <w:numId w:val="25"/>
        </w:numPr>
        <w:spacing w:after="160" w:line="256" w:lineRule="auto"/>
        <w:ind w:right="-99"/>
        <w:jc w:val="both"/>
        <w:rPr>
          <w:rFonts w:eastAsia="Malgun Gothic"/>
        </w:rPr>
      </w:pPr>
      <w:r>
        <w:rPr>
          <w:rFonts w:eastAsia="Malgun Gothic"/>
        </w:rPr>
        <w:t xml:space="preserve">Overlaps with UL resources according to the synchronized TDD DL/UL configuration for co-channel/adjacent channel operators: In this case, considerable BS-to-BS interference on victim network(s) is expected and should not be allowed. </w:t>
      </w:r>
    </w:p>
    <w:p w14:paraId="6FA528D2" w14:textId="77777777" w:rsidR="008F74AE" w:rsidRDefault="008F74AE" w:rsidP="00A9212E">
      <w:pPr>
        <w:spacing w:after="160" w:line="256" w:lineRule="auto"/>
        <w:ind w:right="-99"/>
        <w:jc w:val="both"/>
        <w:rPr>
          <w:rFonts w:eastAsia="Malgun Gothic"/>
        </w:rPr>
      </w:pPr>
    </w:p>
    <w:p w14:paraId="5F816DE8" w14:textId="42499837" w:rsidR="008F74AE" w:rsidRDefault="00CC0977" w:rsidP="00A9212E">
      <w:pPr>
        <w:spacing w:after="160" w:line="256" w:lineRule="auto"/>
        <w:ind w:right="-99"/>
        <w:jc w:val="both"/>
        <w:rPr>
          <w:rFonts w:eastAsia="Malgun Gothic"/>
        </w:rPr>
      </w:pPr>
      <w:r>
        <w:rPr>
          <w:rFonts w:eastAsia="Malgun Gothic"/>
        </w:rPr>
        <w:t xml:space="preserve">To preclude this scenario to be supported, </w:t>
      </w:r>
      <w:r w:rsidR="008F74AE">
        <w:rPr>
          <w:rFonts w:eastAsia="Malgun Gothic"/>
        </w:rPr>
        <w:t xml:space="preserve">clarification on SBFD UL </w:t>
      </w:r>
      <w:proofErr w:type="spellStart"/>
      <w:r w:rsidR="008F74AE">
        <w:rPr>
          <w:rFonts w:eastAsia="Malgun Gothic"/>
        </w:rPr>
        <w:t>subband</w:t>
      </w:r>
      <w:proofErr w:type="spellEnd"/>
      <w:r w:rsidR="008F74AE">
        <w:rPr>
          <w:rFonts w:eastAsia="Malgun Gothic"/>
        </w:rPr>
        <w:t xml:space="preserve"> configuration seems necessary that one SBFD UL </w:t>
      </w:r>
      <w:proofErr w:type="spellStart"/>
      <w:r w:rsidR="008F74AE">
        <w:rPr>
          <w:rFonts w:eastAsia="Malgun Gothic"/>
        </w:rPr>
        <w:t>subband</w:t>
      </w:r>
      <w:proofErr w:type="spellEnd"/>
      <w:r w:rsidR="008F74AE">
        <w:rPr>
          <w:rFonts w:eastAsia="Malgun Gothic"/>
        </w:rPr>
        <w:t xml:space="preserve"> in non-legacy UL symbols is allowed from base station operation as well as from UE perspective. </w:t>
      </w:r>
      <w:r w:rsidR="000A2B51">
        <w:rPr>
          <w:rFonts w:eastAsia="Malgun Gothic"/>
        </w:rPr>
        <w:t>To clarify, we propose to add clarification of legacy UL symbol as follows:</w:t>
      </w:r>
    </w:p>
    <w:p w14:paraId="4B3B07F4" w14:textId="7D233C70" w:rsidR="004F26DB" w:rsidRPr="0005429D" w:rsidRDefault="004F26DB" w:rsidP="00A5652F">
      <w:pPr>
        <w:spacing w:after="160" w:line="256" w:lineRule="auto"/>
        <w:ind w:right="-99"/>
        <w:rPr>
          <w:rFonts w:eastAsia="Malgun Gothic"/>
          <w:b/>
          <w:bCs/>
          <w:i/>
          <w:iCs/>
        </w:rPr>
      </w:pPr>
      <w:r w:rsidRPr="0005429D">
        <w:rPr>
          <w:rFonts w:eastAsia="Malgun Gothic"/>
          <w:b/>
          <w:bCs/>
          <w:i/>
          <w:iCs/>
        </w:rPr>
        <w:t xml:space="preserve">Proposal 1: </w:t>
      </w:r>
      <w:r w:rsidR="00715F8B" w:rsidRPr="0005429D">
        <w:rPr>
          <w:rFonts w:eastAsia="Malgun Gothic"/>
          <w:b/>
          <w:bCs/>
          <w:i/>
          <w:iCs/>
        </w:rPr>
        <w:t xml:space="preserve">Update WID objective </w:t>
      </w:r>
      <w:r w:rsidR="00715F8B">
        <w:rPr>
          <w:rFonts w:eastAsia="Malgun Gothic"/>
          <w:b/>
          <w:bCs/>
          <w:i/>
          <w:iCs/>
        </w:rPr>
        <w:t xml:space="preserve">and assumptions related to </w:t>
      </w:r>
      <w:r w:rsidR="00715F8B" w:rsidRPr="0005429D">
        <w:rPr>
          <w:rFonts w:eastAsia="Malgun Gothic"/>
          <w:b/>
          <w:bCs/>
          <w:i/>
          <w:iCs/>
        </w:rPr>
        <w:t xml:space="preserve">UL </w:t>
      </w:r>
      <w:proofErr w:type="spellStart"/>
      <w:r w:rsidR="00715F8B" w:rsidRPr="0005429D">
        <w:rPr>
          <w:rFonts w:eastAsia="Malgun Gothic"/>
          <w:b/>
          <w:bCs/>
          <w:i/>
          <w:iCs/>
        </w:rPr>
        <w:t>subband</w:t>
      </w:r>
      <w:proofErr w:type="spellEnd"/>
      <w:r w:rsidR="00715F8B" w:rsidRPr="0005429D">
        <w:rPr>
          <w:rFonts w:eastAsia="Malgun Gothic"/>
          <w:b/>
          <w:bCs/>
          <w:i/>
          <w:iCs/>
        </w:rPr>
        <w:t xml:space="preserve"> as follows</w:t>
      </w:r>
      <w:r w:rsidRPr="0005429D">
        <w:rPr>
          <w:rFonts w:eastAsia="Malgun Gothic"/>
          <w:b/>
          <w:bCs/>
          <w:i/>
          <w:iCs/>
        </w:rPr>
        <w:t xml:space="preserve">: </w:t>
      </w:r>
    </w:p>
    <w:p w14:paraId="67BE14DC" w14:textId="77777777" w:rsidR="00736577" w:rsidRPr="003E0D9F" w:rsidRDefault="00736577" w:rsidP="00736577">
      <w:pPr>
        <w:numPr>
          <w:ilvl w:val="1"/>
          <w:numId w:val="20"/>
        </w:numPr>
        <w:spacing w:after="160" w:line="256" w:lineRule="auto"/>
        <w:ind w:left="360" w:right="-99"/>
        <w:rPr>
          <w:rFonts w:eastAsia="Malgun Gothic"/>
        </w:rPr>
      </w:pPr>
      <w:bookmarkStart w:id="2" w:name="_Hlk153407590"/>
      <w:r w:rsidRPr="003E0D9F">
        <w:rPr>
          <w:rFonts w:eastAsia="Malgun Gothic"/>
        </w:rPr>
        <w:t xml:space="preserve">Specify UE transmission, reception and measurement behavior and procedures in SBFD symbols and/or non-SBFD symbols for SBFD </w:t>
      </w:r>
      <w:r>
        <w:rPr>
          <w:rFonts w:eastAsia="Malgun Gothic"/>
        </w:rPr>
        <w:t>aware</w:t>
      </w:r>
      <w:r w:rsidRPr="003E0D9F">
        <w:rPr>
          <w:rFonts w:eastAsia="Malgun Gothic"/>
        </w:rPr>
        <w:t xml:space="preserve"> UE</w:t>
      </w:r>
      <w:r>
        <w:rPr>
          <w:rFonts w:eastAsia="Malgun Gothic"/>
        </w:rPr>
        <w:t xml:space="preserve"> </w:t>
      </w:r>
      <w:r w:rsidRPr="003E0D9F">
        <w:rPr>
          <w:rFonts w:eastAsia="Malgun Gothic"/>
        </w:rPr>
        <w:t>[RAN1, RAN2]</w:t>
      </w:r>
    </w:p>
    <w:bookmarkEnd w:id="2"/>
    <w:p w14:paraId="0233238D" w14:textId="77777777" w:rsidR="00736577" w:rsidRPr="003E0D9F" w:rsidRDefault="00736577" w:rsidP="00736577">
      <w:pPr>
        <w:numPr>
          <w:ilvl w:val="2"/>
          <w:numId w:val="20"/>
        </w:numPr>
        <w:spacing w:after="160" w:line="256" w:lineRule="auto"/>
        <w:ind w:left="1080" w:right="-99"/>
        <w:rPr>
          <w:rFonts w:eastAsia="Malgun Gothic"/>
        </w:rPr>
      </w:pPr>
      <w:r w:rsidRPr="003E0D9F">
        <w:rPr>
          <w:rFonts w:eastAsia="Malgun Gothic"/>
        </w:rPr>
        <w:t xml:space="preserve">Transmission and reception </w:t>
      </w:r>
      <w:proofErr w:type="spellStart"/>
      <w:r w:rsidRPr="003E0D9F">
        <w:rPr>
          <w:rFonts w:eastAsia="Malgun Gothic"/>
        </w:rPr>
        <w:t>behaviours</w:t>
      </w:r>
      <w:proofErr w:type="spellEnd"/>
      <w:r w:rsidRPr="003E0D9F">
        <w:rPr>
          <w:rFonts w:eastAsia="Malgun Gothic"/>
        </w:rPr>
        <w:t xml:space="preserve"> on SBFD </w:t>
      </w:r>
      <w:proofErr w:type="spellStart"/>
      <w:r w:rsidRPr="003E0D9F">
        <w:rPr>
          <w:rFonts w:eastAsia="Malgun Gothic"/>
        </w:rPr>
        <w:t>subbands</w:t>
      </w:r>
      <w:proofErr w:type="spellEnd"/>
      <w:r w:rsidRPr="003E0D9F">
        <w:rPr>
          <w:rFonts w:eastAsia="Malgun Gothic"/>
        </w:rPr>
        <w:t xml:space="preserve"> configured in DL and/or flexible symbol indicated by </w:t>
      </w:r>
      <w:r w:rsidRPr="003E0D9F">
        <w:rPr>
          <w:rFonts w:eastAsia="Malgun Gothic"/>
          <w:i/>
          <w:iCs/>
        </w:rPr>
        <w:t>TDD-UL-DL-</w:t>
      </w:r>
      <w:proofErr w:type="spellStart"/>
      <w:r w:rsidRPr="003E0D9F">
        <w:rPr>
          <w:rFonts w:eastAsia="Malgun Gothic"/>
          <w:i/>
          <w:iCs/>
        </w:rPr>
        <w:t>ConfigCommon</w:t>
      </w:r>
      <w:proofErr w:type="spellEnd"/>
    </w:p>
    <w:p w14:paraId="7EE793B6" w14:textId="77777777" w:rsidR="00736577" w:rsidRPr="003E0D9F" w:rsidRDefault="00736577" w:rsidP="00736577">
      <w:pPr>
        <w:numPr>
          <w:ilvl w:val="3"/>
          <w:numId w:val="20"/>
        </w:numPr>
        <w:spacing w:after="160" w:line="256" w:lineRule="auto"/>
        <w:ind w:left="1800" w:right="-99"/>
        <w:rPr>
          <w:rFonts w:eastAsia="Malgun Gothic"/>
        </w:rPr>
      </w:pPr>
      <w:r w:rsidRPr="003E0D9F">
        <w:rPr>
          <w:rFonts w:eastAsia="Malgun Gothic"/>
        </w:rPr>
        <w:t xml:space="preserve">UL transmissions within UL </w:t>
      </w:r>
      <w:proofErr w:type="spellStart"/>
      <w:r w:rsidRPr="003E0D9F">
        <w:rPr>
          <w:rFonts w:eastAsia="Malgun Gothic"/>
        </w:rPr>
        <w:t>subband</w:t>
      </w:r>
      <w:proofErr w:type="spellEnd"/>
      <w:r w:rsidRPr="003E0D9F">
        <w:rPr>
          <w:rFonts w:eastAsia="Malgun Gothic"/>
        </w:rPr>
        <w:t xml:space="preserve"> only</w:t>
      </w:r>
    </w:p>
    <w:p w14:paraId="151AB5DE" w14:textId="77777777" w:rsidR="00736577" w:rsidRPr="003E0D9F" w:rsidRDefault="00736577" w:rsidP="00736577">
      <w:pPr>
        <w:numPr>
          <w:ilvl w:val="3"/>
          <w:numId w:val="20"/>
        </w:numPr>
        <w:spacing w:after="160" w:line="256" w:lineRule="auto"/>
        <w:ind w:left="1800" w:right="-99"/>
        <w:rPr>
          <w:rFonts w:eastAsia="Malgun Gothic"/>
        </w:rPr>
      </w:pPr>
      <w:r w:rsidRPr="003E0D9F">
        <w:rPr>
          <w:rFonts w:eastAsia="Malgun Gothic"/>
        </w:rPr>
        <w:t xml:space="preserve">DL receptions within DL </w:t>
      </w:r>
      <w:proofErr w:type="spellStart"/>
      <w:r w:rsidRPr="003E0D9F">
        <w:rPr>
          <w:rFonts w:eastAsia="Malgun Gothic"/>
        </w:rPr>
        <w:t>subband</w:t>
      </w:r>
      <w:proofErr w:type="spellEnd"/>
      <w:r w:rsidRPr="003E0D9F">
        <w:rPr>
          <w:rFonts w:eastAsia="Malgun Gothic"/>
        </w:rPr>
        <w:t xml:space="preserve">(s) only, except for CLI measurement by the UE outside of the DL </w:t>
      </w:r>
      <w:proofErr w:type="spellStart"/>
      <w:r w:rsidRPr="003E0D9F">
        <w:rPr>
          <w:rFonts w:eastAsia="Malgun Gothic"/>
        </w:rPr>
        <w:t>subbands</w:t>
      </w:r>
      <w:proofErr w:type="spellEnd"/>
    </w:p>
    <w:p w14:paraId="3CBFBCB9" w14:textId="442C4DFB" w:rsidR="00736577" w:rsidRPr="00A115A2" w:rsidRDefault="00736577" w:rsidP="00736577">
      <w:pPr>
        <w:spacing w:after="160" w:line="256" w:lineRule="auto"/>
        <w:ind w:left="1440" w:right="-99"/>
        <w:rPr>
          <w:rFonts w:eastAsia="Malgun Gothic"/>
          <w:color w:val="000000" w:themeColor="text1"/>
        </w:rPr>
      </w:pPr>
      <w:r w:rsidRPr="003E0D9F">
        <w:rPr>
          <w:rFonts w:eastAsia="Malgun Gothic"/>
        </w:rPr>
        <w:t xml:space="preserve">Note: </w:t>
      </w:r>
      <w:r w:rsidRPr="003E0D9F">
        <w:rPr>
          <w:lang w:eastAsia="zh-CN"/>
        </w:rPr>
        <w:t>When flexible symbols are used, it is not expected that any legacy Uplink symbol is converted to Downlink/SBFD symbols</w:t>
      </w:r>
      <w:r>
        <w:rPr>
          <w:lang w:eastAsia="zh-CN"/>
        </w:rPr>
        <w:t xml:space="preserve">. </w:t>
      </w:r>
      <w:r w:rsidRPr="00736577">
        <w:rPr>
          <w:highlight w:val="yellow"/>
          <w:lang w:eastAsia="zh-CN"/>
        </w:rPr>
        <w:t xml:space="preserve">Legacy Uplink symbol indicates a symbol that is indicated as Uplink by legacy signaling such as </w:t>
      </w:r>
      <w:proofErr w:type="spellStart"/>
      <w:r w:rsidR="00714B70" w:rsidRPr="00A115A2">
        <w:rPr>
          <w:color w:val="000000" w:themeColor="text1"/>
          <w:highlight w:val="yellow"/>
          <w:lang w:eastAsia="zh-CN"/>
        </w:rPr>
        <w:t>ConfigCommon</w:t>
      </w:r>
      <w:proofErr w:type="spellEnd"/>
      <w:r w:rsidR="00714B70" w:rsidRPr="00A115A2">
        <w:rPr>
          <w:color w:val="000000" w:themeColor="text1"/>
          <w:highlight w:val="yellow"/>
          <w:lang w:eastAsia="zh-CN"/>
        </w:rPr>
        <w:t>, TDD-UL-DL-</w:t>
      </w:r>
      <w:proofErr w:type="spellStart"/>
      <w:r w:rsidR="00714B70" w:rsidRPr="00A115A2">
        <w:rPr>
          <w:color w:val="000000" w:themeColor="text1"/>
          <w:highlight w:val="yellow"/>
          <w:lang w:eastAsia="zh-CN"/>
        </w:rPr>
        <w:t>ConfigDedicated</w:t>
      </w:r>
      <w:proofErr w:type="spellEnd"/>
      <w:r w:rsidR="00714B70" w:rsidRPr="00A115A2">
        <w:rPr>
          <w:color w:val="000000" w:themeColor="text1"/>
          <w:highlight w:val="yellow"/>
          <w:lang w:eastAsia="zh-CN"/>
        </w:rPr>
        <w:t xml:space="preserve"> </w:t>
      </w:r>
      <w:r w:rsidRPr="00A115A2">
        <w:rPr>
          <w:color w:val="000000" w:themeColor="text1"/>
          <w:highlight w:val="yellow"/>
          <w:lang w:eastAsia="zh-CN"/>
        </w:rPr>
        <w:t>and/or dynamic SFI indication.</w:t>
      </w:r>
      <w:r w:rsidRPr="00A115A2">
        <w:rPr>
          <w:color w:val="000000" w:themeColor="text1"/>
          <w:lang w:eastAsia="zh-CN"/>
        </w:rPr>
        <w:t xml:space="preserve"> </w:t>
      </w:r>
    </w:p>
    <w:p w14:paraId="2D4895DB" w14:textId="16DD103A" w:rsidR="005064C3" w:rsidRPr="005064C3" w:rsidRDefault="004F26DB" w:rsidP="005064C3">
      <w:pPr>
        <w:pStyle w:val="ListParagraph"/>
        <w:numPr>
          <w:ilvl w:val="0"/>
          <w:numId w:val="24"/>
        </w:numPr>
        <w:spacing w:after="160" w:line="256" w:lineRule="auto"/>
        <w:ind w:right="-99"/>
        <w:rPr>
          <w:rFonts w:eastAsia="Malgun Gothic"/>
        </w:rPr>
      </w:pPr>
      <w:r w:rsidRPr="004F26DB">
        <w:rPr>
          <w:rFonts w:eastAsia="Malgun Gothic"/>
        </w:rPr>
        <w:t xml:space="preserve">One UL </w:t>
      </w:r>
      <w:proofErr w:type="spellStart"/>
      <w:r w:rsidRPr="004F26DB">
        <w:rPr>
          <w:rFonts w:eastAsia="Malgun Gothic"/>
        </w:rPr>
        <w:t>subband</w:t>
      </w:r>
      <w:proofErr w:type="spellEnd"/>
      <w:r w:rsidRPr="004F26DB">
        <w:rPr>
          <w:rFonts w:eastAsia="Malgun Gothic"/>
        </w:rPr>
        <w:t xml:space="preserve"> for SBFD operation in an SBFD symbol (excluding legacy UL symbol/slot) within a TDD carrier</w:t>
      </w:r>
      <w:r w:rsidR="005064C3">
        <w:rPr>
          <w:rFonts w:eastAsia="Malgun Gothic"/>
        </w:rPr>
        <w:t xml:space="preserve">. </w:t>
      </w:r>
    </w:p>
    <w:p w14:paraId="5E1BB771" w14:textId="6B6A9D69" w:rsidR="004F26DB" w:rsidRDefault="004F26DB" w:rsidP="004F26DB">
      <w:pPr>
        <w:pStyle w:val="ListParagraph"/>
        <w:spacing w:after="160" w:line="256" w:lineRule="auto"/>
        <w:ind w:right="-99"/>
        <w:rPr>
          <w:rFonts w:eastAsia="Malgun Gothic"/>
        </w:rPr>
      </w:pPr>
      <w:r w:rsidRPr="004F26DB">
        <w:rPr>
          <w:rFonts w:eastAsia="Malgun Gothic"/>
          <w:highlight w:val="yellow"/>
        </w:rPr>
        <w:t xml:space="preserve">NOTE: </w:t>
      </w:r>
      <w:r w:rsidRPr="00A115A2">
        <w:rPr>
          <w:rFonts w:eastAsia="Malgun Gothic"/>
          <w:color w:val="000000" w:themeColor="text1"/>
          <w:highlight w:val="yellow"/>
        </w:rPr>
        <w:t xml:space="preserve">legacy UL symbol/slot </w:t>
      </w:r>
      <w:r w:rsidR="005064C3">
        <w:rPr>
          <w:rFonts w:eastAsia="Malgun Gothic"/>
          <w:color w:val="000000" w:themeColor="text1"/>
          <w:highlight w:val="yellow"/>
        </w:rPr>
        <w:t xml:space="preserve">includes </w:t>
      </w:r>
      <w:r w:rsidRPr="00A115A2">
        <w:rPr>
          <w:rFonts w:eastAsia="Malgun Gothic"/>
          <w:color w:val="000000" w:themeColor="text1"/>
          <w:highlight w:val="yellow"/>
        </w:rPr>
        <w:t xml:space="preserve">all UL symbols </w:t>
      </w:r>
      <w:r w:rsidR="005064C3">
        <w:rPr>
          <w:rFonts w:eastAsia="Malgun Gothic"/>
          <w:color w:val="000000" w:themeColor="text1"/>
          <w:highlight w:val="yellow"/>
        </w:rPr>
        <w:t xml:space="preserve">are </w:t>
      </w:r>
      <w:r w:rsidRPr="00A115A2">
        <w:rPr>
          <w:rFonts w:eastAsia="Malgun Gothic"/>
          <w:color w:val="000000" w:themeColor="text1"/>
          <w:highlight w:val="yellow"/>
        </w:rPr>
        <w:t>indicate</w:t>
      </w:r>
      <w:r w:rsidR="005064C3">
        <w:rPr>
          <w:rFonts w:eastAsia="Malgun Gothic"/>
          <w:color w:val="000000" w:themeColor="text1"/>
          <w:highlight w:val="yellow"/>
        </w:rPr>
        <w:t>d</w:t>
      </w:r>
      <w:r w:rsidRPr="00A115A2">
        <w:rPr>
          <w:rFonts w:eastAsia="Malgun Gothic"/>
          <w:color w:val="000000" w:themeColor="text1"/>
          <w:highlight w:val="yellow"/>
        </w:rPr>
        <w:t xml:space="preserve"> as UL to any serving UE(s) via slot formation signaling such as TDD-UL-DL-</w:t>
      </w:r>
      <w:proofErr w:type="spellStart"/>
      <w:r w:rsidRPr="00A115A2">
        <w:rPr>
          <w:rFonts w:eastAsia="Malgun Gothic"/>
          <w:color w:val="000000" w:themeColor="text1"/>
          <w:highlight w:val="yellow"/>
        </w:rPr>
        <w:t>ConfigCommon</w:t>
      </w:r>
      <w:proofErr w:type="spellEnd"/>
      <w:r w:rsidRPr="00A115A2">
        <w:rPr>
          <w:rFonts w:eastAsia="Malgun Gothic"/>
          <w:color w:val="000000" w:themeColor="text1"/>
          <w:highlight w:val="yellow"/>
        </w:rPr>
        <w:t xml:space="preserve">, </w:t>
      </w:r>
      <w:r w:rsidR="00714B70" w:rsidRPr="00A115A2">
        <w:rPr>
          <w:rFonts w:eastAsia="Malgun Gothic"/>
          <w:color w:val="000000" w:themeColor="text1"/>
          <w:highlight w:val="yellow"/>
        </w:rPr>
        <w:t>DL-</w:t>
      </w:r>
      <w:proofErr w:type="spellStart"/>
      <w:r w:rsidR="00714B70" w:rsidRPr="00A115A2">
        <w:rPr>
          <w:rFonts w:eastAsia="Malgun Gothic"/>
          <w:color w:val="000000" w:themeColor="text1"/>
          <w:highlight w:val="yellow"/>
        </w:rPr>
        <w:t>ConfigDedicated</w:t>
      </w:r>
      <w:proofErr w:type="spellEnd"/>
      <w:r w:rsidRPr="00A115A2">
        <w:rPr>
          <w:rFonts w:eastAsia="Malgun Gothic"/>
          <w:color w:val="000000" w:themeColor="text1"/>
          <w:highlight w:val="yellow"/>
        </w:rPr>
        <w:t>, and group common slot format-indicators (SFI).</w:t>
      </w:r>
      <w:r w:rsidRPr="00A115A2">
        <w:rPr>
          <w:rFonts w:eastAsia="Malgun Gothic"/>
          <w:color w:val="000000" w:themeColor="text1"/>
        </w:rPr>
        <w:t xml:space="preserve"> </w:t>
      </w:r>
    </w:p>
    <w:p w14:paraId="1C47DE95" w14:textId="777CCE39" w:rsidR="00861A88" w:rsidRDefault="00861A88" w:rsidP="00861A88">
      <w:pPr>
        <w:pStyle w:val="Heading1"/>
        <w:numPr>
          <w:ilvl w:val="0"/>
          <w:numId w:val="15"/>
        </w:numPr>
      </w:pPr>
      <w:r>
        <w:t>Conclusion</w:t>
      </w:r>
    </w:p>
    <w:p w14:paraId="0A006123" w14:textId="50EE5990" w:rsidR="00337257" w:rsidRDefault="00337257" w:rsidP="00337257">
      <w:pPr>
        <w:rPr>
          <w:lang w:val="en-GB" w:eastAsia="zh-CN"/>
        </w:rPr>
      </w:pPr>
      <w:r>
        <w:rPr>
          <w:lang w:val="en-GB" w:eastAsia="zh-CN"/>
        </w:rPr>
        <w:t xml:space="preserve">We propose the followings: </w:t>
      </w:r>
    </w:p>
    <w:p w14:paraId="510FF2D3" w14:textId="77777777" w:rsidR="00337257" w:rsidRPr="00337257" w:rsidRDefault="00337257" w:rsidP="00337257">
      <w:pPr>
        <w:rPr>
          <w:lang w:val="en-GB" w:eastAsia="zh-CN"/>
        </w:rPr>
      </w:pPr>
    </w:p>
    <w:p w14:paraId="3F3FF10C" w14:textId="77777777" w:rsidR="006F7468" w:rsidRPr="0005429D" w:rsidRDefault="006F7468" w:rsidP="006F7468">
      <w:pPr>
        <w:spacing w:after="160" w:line="256" w:lineRule="auto"/>
        <w:ind w:right="-99"/>
        <w:rPr>
          <w:rFonts w:eastAsia="Malgun Gothic"/>
          <w:b/>
          <w:bCs/>
          <w:i/>
          <w:iCs/>
        </w:rPr>
      </w:pPr>
      <w:r w:rsidRPr="0005429D">
        <w:rPr>
          <w:rFonts w:eastAsia="Malgun Gothic"/>
          <w:b/>
          <w:bCs/>
          <w:i/>
          <w:iCs/>
        </w:rPr>
        <w:t xml:space="preserve">Proposal 1: Update WID objective </w:t>
      </w:r>
      <w:r>
        <w:rPr>
          <w:rFonts w:eastAsia="Malgun Gothic"/>
          <w:b/>
          <w:bCs/>
          <w:i/>
          <w:iCs/>
        </w:rPr>
        <w:t xml:space="preserve">and assumptions related to </w:t>
      </w:r>
      <w:r w:rsidRPr="0005429D">
        <w:rPr>
          <w:rFonts w:eastAsia="Malgun Gothic"/>
          <w:b/>
          <w:bCs/>
          <w:i/>
          <w:iCs/>
        </w:rPr>
        <w:t xml:space="preserve">UL </w:t>
      </w:r>
      <w:proofErr w:type="spellStart"/>
      <w:r w:rsidRPr="0005429D">
        <w:rPr>
          <w:rFonts w:eastAsia="Malgun Gothic"/>
          <w:b/>
          <w:bCs/>
          <w:i/>
          <w:iCs/>
        </w:rPr>
        <w:t>subband</w:t>
      </w:r>
      <w:proofErr w:type="spellEnd"/>
      <w:r w:rsidRPr="0005429D">
        <w:rPr>
          <w:rFonts w:eastAsia="Malgun Gothic"/>
          <w:b/>
          <w:bCs/>
          <w:i/>
          <w:iCs/>
        </w:rPr>
        <w:t xml:space="preserve"> as follows: </w:t>
      </w:r>
    </w:p>
    <w:p w14:paraId="130F3E24" w14:textId="77777777" w:rsidR="006F7468" w:rsidRPr="003E0D9F" w:rsidRDefault="006F7468" w:rsidP="006F7468">
      <w:pPr>
        <w:numPr>
          <w:ilvl w:val="1"/>
          <w:numId w:val="20"/>
        </w:numPr>
        <w:spacing w:after="160" w:line="256" w:lineRule="auto"/>
        <w:ind w:left="360" w:right="-99"/>
        <w:rPr>
          <w:rFonts w:eastAsia="Malgun Gothic"/>
        </w:rPr>
      </w:pPr>
      <w:r w:rsidRPr="003E0D9F">
        <w:rPr>
          <w:rFonts w:eastAsia="Malgun Gothic"/>
        </w:rPr>
        <w:t xml:space="preserve">Specify UE transmission, reception and measurement behavior and procedures in SBFD symbols and/or non-SBFD symbols for SBFD </w:t>
      </w:r>
      <w:r>
        <w:rPr>
          <w:rFonts w:eastAsia="Malgun Gothic"/>
        </w:rPr>
        <w:t>aware</w:t>
      </w:r>
      <w:r w:rsidRPr="003E0D9F">
        <w:rPr>
          <w:rFonts w:eastAsia="Malgun Gothic"/>
        </w:rPr>
        <w:t xml:space="preserve"> UE</w:t>
      </w:r>
      <w:r>
        <w:rPr>
          <w:rFonts w:eastAsia="Malgun Gothic"/>
        </w:rPr>
        <w:t xml:space="preserve"> </w:t>
      </w:r>
      <w:r w:rsidRPr="003E0D9F">
        <w:rPr>
          <w:rFonts w:eastAsia="Malgun Gothic"/>
        </w:rPr>
        <w:t>[RAN1, RAN2]</w:t>
      </w:r>
    </w:p>
    <w:p w14:paraId="4ACFAA51" w14:textId="77777777" w:rsidR="006F7468" w:rsidRPr="003E0D9F" w:rsidRDefault="006F7468" w:rsidP="006F7468">
      <w:pPr>
        <w:numPr>
          <w:ilvl w:val="2"/>
          <w:numId w:val="20"/>
        </w:numPr>
        <w:spacing w:after="160" w:line="256" w:lineRule="auto"/>
        <w:ind w:left="1080" w:right="-99"/>
        <w:rPr>
          <w:rFonts w:eastAsia="Malgun Gothic"/>
        </w:rPr>
      </w:pPr>
      <w:r w:rsidRPr="003E0D9F">
        <w:rPr>
          <w:rFonts w:eastAsia="Malgun Gothic"/>
        </w:rPr>
        <w:t xml:space="preserve">Transmission and reception </w:t>
      </w:r>
      <w:proofErr w:type="spellStart"/>
      <w:r w:rsidRPr="003E0D9F">
        <w:rPr>
          <w:rFonts w:eastAsia="Malgun Gothic"/>
        </w:rPr>
        <w:t>behaviours</w:t>
      </w:r>
      <w:proofErr w:type="spellEnd"/>
      <w:r w:rsidRPr="003E0D9F">
        <w:rPr>
          <w:rFonts w:eastAsia="Malgun Gothic"/>
        </w:rPr>
        <w:t xml:space="preserve"> on SBFD </w:t>
      </w:r>
      <w:proofErr w:type="spellStart"/>
      <w:r w:rsidRPr="003E0D9F">
        <w:rPr>
          <w:rFonts w:eastAsia="Malgun Gothic"/>
        </w:rPr>
        <w:t>subbands</w:t>
      </w:r>
      <w:proofErr w:type="spellEnd"/>
      <w:r w:rsidRPr="003E0D9F">
        <w:rPr>
          <w:rFonts w:eastAsia="Malgun Gothic"/>
        </w:rPr>
        <w:t xml:space="preserve"> configured in DL and/or flexible symbol indicated by </w:t>
      </w:r>
      <w:r w:rsidRPr="003E0D9F">
        <w:rPr>
          <w:rFonts w:eastAsia="Malgun Gothic"/>
          <w:i/>
          <w:iCs/>
        </w:rPr>
        <w:t>TDD-UL-DL-</w:t>
      </w:r>
      <w:proofErr w:type="spellStart"/>
      <w:r w:rsidRPr="003E0D9F">
        <w:rPr>
          <w:rFonts w:eastAsia="Malgun Gothic"/>
          <w:i/>
          <w:iCs/>
        </w:rPr>
        <w:t>ConfigCommon</w:t>
      </w:r>
      <w:proofErr w:type="spellEnd"/>
    </w:p>
    <w:p w14:paraId="1BC5CAF5" w14:textId="77777777" w:rsidR="006F7468" w:rsidRPr="003E0D9F" w:rsidRDefault="006F7468" w:rsidP="006F7468">
      <w:pPr>
        <w:numPr>
          <w:ilvl w:val="3"/>
          <w:numId w:val="20"/>
        </w:numPr>
        <w:spacing w:after="160" w:line="256" w:lineRule="auto"/>
        <w:ind w:left="1800" w:right="-99"/>
        <w:rPr>
          <w:rFonts w:eastAsia="Malgun Gothic"/>
        </w:rPr>
      </w:pPr>
      <w:r w:rsidRPr="003E0D9F">
        <w:rPr>
          <w:rFonts w:eastAsia="Malgun Gothic"/>
        </w:rPr>
        <w:t xml:space="preserve">UL transmissions within UL </w:t>
      </w:r>
      <w:proofErr w:type="spellStart"/>
      <w:r w:rsidRPr="003E0D9F">
        <w:rPr>
          <w:rFonts w:eastAsia="Malgun Gothic"/>
        </w:rPr>
        <w:t>subband</w:t>
      </w:r>
      <w:proofErr w:type="spellEnd"/>
      <w:r w:rsidRPr="003E0D9F">
        <w:rPr>
          <w:rFonts w:eastAsia="Malgun Gothic"/>
        </w:rPr>
        <w:t xml:space="preserve"> only</w:t>
      </w:r>
    </w:p>
    <w:p w14:paraId="0E07D134" w14:textId="77777777" w:rsidR="006F7468" w:rsidRPr="003E0D9F" w:rsidRDefault="006F7468" w:rsidP="006F7468">
      <w:pPr>
        <w:numPr>
          <w:ilvl w:val="3"/>
          <w:numId w:val="20"/>
        </w:numPr>
        <w:spacing w:after="160" w:line="256" w:lineRule="auto"/>
        <w:ind w:left="1800" w:right="-99"/>
        <w:rPr>
          <w:rFonts w:eastAsia="Malgun Gothic"/>
        </w:rPr>
      </w:pPr>
      <w:r w:rsidRPr="003E0D9F">
        <w:rPr>
          <w:rFonts w:eastAsia="Malgun Gothic"/>
        </w:rPr>
        <w:t xml:space="preserve">DL receptions within DL </w:t>
      </w:r>
      <w:proofErr w:type="spellStart"/>
      <w:r w:rsidRPr="003E0D9F">
        <w:rPr>
          <w:rFonts w:eastAsia="Malgun Gothic"/>
        </w:rPr>
        <w:t>subband</w:t>
      </w:r>
      <w:proofErr w:type="spellEnd"/>
      <w:r w:rsidRPr="003E0D9F">
        <w:rPr>
          <w:rFonts w:eastAsia="Malgun Gothic"/>
        </w:rPr>
        <w:t xml:space="preserve">(s) only, except for CLI measurement by the UE outside of the DL </w:t>
      </w:r>
      <w:proofErr w:type="spellStart"/>
      <w:r w:rsidRPr="003E0D9F">
        <w:rPr>
          <w:rFonts w:eastAsia="Malgun Gothic"/>
        </w:rPr>
        <w:t>subbands</w:t>
      </w:r>
      <w:proofErr w:type="spellEnd"/>
    </w:p>
    <w:p w14:paraId="5CF17435" w14:textId="77777777" w:rsidR="006F7468" w:rsidRPr="00A115A2" w:rsidRDefault="006F7468" w:rsidP="006F7468">
      <w:pPr>
        <w:spacing w:after="160" w:line="256" w:lineRule="auto"/>
        <w:ind w:left="1440" w:right="-99"/>
        <w:rPr>
          <w:rFonts w:eastAsia="Malgun Gothic"/>
          <w:color w:val="000000" w:themeColor="text1"/>
        </w:rPr>
      </w:pPr>
      <w:r w:rsidRPr="003E0D9F">
        <w:rPr>
          <w:rFonts w:eastAsia="Malgun Gothic"/>
        </w:rPr>
        <w:t xml:space="preserve">Note: </w:t>
      </w:r>
      <w:r w:rsidRPr="003E0D9F">
        <w:rPr>
          <w:lang w:eastAsia="zh-CN"/>
        </w:rPr>
        <w:t>When flexible symbols are used, it is not expected that any legacy Uplink symbol is converted to Downlink/SBFD symbols</w:t>
      </w:r>
      <w:r>
        <w:rPr>
          <w:lang w:eastAsia="zh-CN"/>
        </w:rPr>
        <w:t xml:space="preserve">. </w:t>
      </w:r>
      <w:r w:rsidRPr="00736577">
        <w:rPr>
          <w:highlight w:val="yellow"/>
          <w:lang w:eastAsia="zh-CN"/>
        </w:rPr>
        <w:t xml:space="preserve">Legacy Uplink symbol indicates a symbol that is indicated as Uplink by legacy signaling such as </w:t>
      </w:r>
      <w:proofErr w:type="spellStart"/>
      <w:r w:rsidRPr="00A115A2">
        <w:rPr>
          <w:color w:val="000000" w:themeColor="text1"/>
          <w:highlight w:val="yellow"/>
          <w:lang w:eastAsia="zh-CN"/>
        </w:rPr>
        <w:t>ConfigCommon</w:t>
      </w:r>
      <w:proofErr w:type="spellEnd"/>
      <w:r w:rsidRPr="00A115A2">
        <w:rPr>
          <w:color w:val="000000" w:themeColor="text1"/>
          <w:highlight w:val="yellow"/>
          <w:lang w:eastAsia="zh-CN"/>
        </w:rPr>
        <w:t>, TDD-UL-DL-</w:t>
      </w:r>
      <w:proofErr w:type="spellStart"/>
      <w:r w:rsidRPr="00A115A2">
        <w:rPr>
          <w:color w:val="000000" w:themeColor="text1"/>
          <w:highlight w:val="yellow"/>
          <w:lang w:eastAsia="zh-CN"/>
        </w:rPr>
        <w:t>ConfigDedicated</w:t>
      </w:r>
      <w:proofErr w:type="spellEnd"/>
      <w:r w:rsidRPr="00A115A2">
        <w:rPr>
          <w:color w:val="000000" w:themeColor="text1"/>
          <w:highlight w:val="yellow"/>
          <w:lang w:eastAsia="zh-CN"/>
        </w:rPr>
        <w:t xml:space="preserve"> and/or dynamic SFI indication.</w:t>
      </w:r>
      <w:r w:rsidRPr="00A115A2">
        <w:rPr>
          <w:color w:val="000000" w:themeColor="text1"/>
          <w:lang w:eastAsia="zh-CN"/>
        </w:rPr>
        <w:t xml:space="preserve"> </w:t>
      </w:r>
    </w:p>
    <w:p w14:paraId="3603F790" w14:textId="77777777" w:rsidR="006F7468" w:rsidRPr="005064C3" w:rsidRDefault="006F7468" w:rsidP="006F7468">
      <w:pPr>
        <w:pStyle w:val="ListParagraph"/>
        <w:numPr>
          <w:ilvl w:val="0"/>
          <w:numId w:val="24"/>
        </w:numPr>
        <w:spacing w:after="160" w:line="256" w:lineRule="auto"/>
        <w:ind w:right="-99"/>
        <w:rPr>
          <w:rFonts w:eastAsia="Malgun Gothic"/>
        </w:rPr>
      </w:pPr>
      <w:r w:rsidRPr="004F26DB">
        <w:rPr>
          <w:rFonts w:eastAsia="Malgun Gothic"/>
        </w:rPr>
        <w:t xml:space="preserve">One UL </w:t>
      </w:r>
      <w:proofErr w:type="spellStart"/>
      <w:r w:rsidRPr="004F26DB">
        <w:rPr>
          <w:rFonts w:eastAsia="Malgun Gothic"/>
        </w:rPr>
        <w:t>subband</w:t>
      </w:r>
      <w:proofErr w:type="spellEnd"/>
      <w:r w:rsidRPr="004F26DB">
        <w:rPr>
          <w:rFonts w:eastAsia="Malgun Gothic"/>
        </w:rPr>
        <w:t xml:space="preserve"> for SBFD operation in an SBFD symbol (excluding legacy UL symbol/slot) within a TDD carrier</w:t>
      </w:r>
      <w:r>
        <w:rPr>
          <w:rFonts w:eastAsia="Malgun Gothic"/>
        </w:rPr>
        <w:t xml:space="preserve">. </w:t>
      </w:r>
    </w:p>
    <w:p w14:paraId="513D0EC7" w14:textId="77777777" w:rsidR="006F7468" w:rsidRDefault="006F7468" w:rsidP="006F7468">
      <w:pPr>
        <w:pStyle w:val="ListParagraph"/>
        <w:spacing w:after="160" w:line="256" w:lineRule="auto"/>
        <w:ind w:right="-99"/>
        <w:rPr>
          <w:rFonts w:eastAsia="Malgun Gothic"/>
        </w:rPr>
      </w:pPr>
      <w:r w:rsidRPr="004F26DB">
        <w:rPr>
          <w:rFonts w:eastAsia="Malgun Gothic"/>
          <w:highlight w:val="yellow"/>
        </w:rPr>
        <w:t xml:space="preserve">NOTE: </w:t>
      </w:r>
      <w:r w:rsidRPr="00A115A2">
        <w:rPr>
          <w:rFonts w:eastAsia="Malgun Gothic"/>
          <w:color w:val="000000" w:themeColor="text1"/>
          <w:highlight w:val="yellow"/>
        </w:rPr>
        <w:t xml:space="preserve">legacy UL symbol/slot </w:t>
      </w:r>
      <w:r>
        <w:rPr>
          <w:rFonts w:eastAsia="Malgun Gothic"/>
          <w:color w:val="000000" w:themeColor="text1"/>
          <w:highlight w:val="yellow"/>
        </w:rPr>
        <w:t xml:space="preserve">includes </w:t>
      </w:r>
      <w:r w:rsidRPr="00A115A2">
        <w:rPr>
          <w:rFonts w:eastAsia="Malgun Gothic"/>
          <w:color w:val="000000" w:themeColor="text1"/>
          <w:highlight w:val="yellow"/>
        </w:rPr>
        <w:t xml:space="preserve">all UL symbols </w:t>
      </w:r>
      <w:r>
        <w:rPr>
          <w:rFonts w:eastAsia="Malgun Gothic"/>
          <w:color w:val="000000" w:themeColor="text1"/>
          <w:highlight w:val="yellow"/>
        </w:rPr>
        <w:t xml:space="preserve">are </w:t>
      </w:r>
      <w:r w:rsidRPr="00A115A2">
        <w:rPr>
          <w:rFonts w:eastAsia="Malgun Gothic"/>
          <w:color w:val="000000" w:themeColor="text1"/>
          <w:highlight w:val="yellow"/>
        </w:rPr>
        <w:t>indicate</w:t>
      </w:r>
      <w:r>
        <w:rPr>
          <w:rFonts w:eastAsia="Malgun Gothic"/>
          <w:color w:val="000000" w:themeColor="text1"/>
          <w:highlight w:val="yellow"/>
        </w:rPr>
        <w:t>d</w:t>
      </w:r>
      <w:r w:rsidRPr="00A115A2">
        <w:rPr>
          <w:rFonts w:eastAsia="Malgun Gothic"/>
          <w:color w:val="000000" w:themeColor="text1"/>
          <w:highlight w:val="yellow"/>
        </w:rPr>
        <w:t xml:space="preserve"> as UL to any serving UE(s) via slot formation signaling such as TDD-UL-DL-</w:t>
      </w:r>
      <w:proofErr w:type="spellStart"/>
      <w:r w:rsidRPr="00A115A2">
        <w:rPr>
          <w:rFonts w:eastAsia="Malgun Gothic"/>
          <w:color w:val="000000" w:themeColor="text1"/>
          <w:highlight w:val="yellow"/>
        </w:rPr>
        <w:t>ConfigCommon</w:t>
      </w:r>
      <w:proofErr w:type="spellEnd"/>
      <w:r w:rsidRPr="00A115A2">
        <w:rPr>
          <w:rFonts w:eastAsia="Malgun Gothic"/>
          <w:color w:val="000000" w:themeColor="text1"/>
          <w:highlight w:val="yellow"/>
        </w:rPr>
        <w:t>, DL-</w:t>
      </w:r>
      <w:proofErr w:type="spellStart"/>
      <w:r w:rsidRPr="00A115A2">
        <w:rPr>
          <w:rFonts w:eastAsia="Malgun Gothic"/>
          <w:color w:val="000000" w:themeColor="text1"/>
          <w:highlight w:val="yellow"/>
        </w:rPr>
        <w:t>ConfigDedicated</w:t>
      </w:r>
      <w:proofErr w:type="spellEnd"/>
      <w:r w:rsidRPr="00A115A2">
        <w:rPr>
          <w:rFonts w:eastAsia="Malgun Gothic"/>
          <w:color w:val="000000" w:themeColor="text1"/>
          <w:highlight w:val="yellow"/>
        </w:rPr>
        <w:t>, and group common slot format-indicators (SFI).</w:t>
      </w:r>
      <w:r w:rsidRPr="00A115A2">
        <w:rPr>
          <w:rFonts w:eastAsia="Malgun Gothic"/>
          <w:color w:val="000000" w:themeColor="text1"/>
        </w:rPr>
        <w:t xml:space="preserve"> </w:t>
      </w:r>
    </w:p>
    <w:p w14:paraId="3A323454" w14:textId="5B49F4C4" w:rsidR="00337257" w:rsidRDefault="00337257" w:rsidP="00337257">
      <w:pPr>
        <w:pStyle w:val="ListParagraph"/>
        <w:spacing w:after="160" w:line="256" w:lineRule="auto"/>
        <w:ind w:right="-99"/>
        <w:rPr>
          <w:rFonts w:eastAsia="Malgun Gothic"/>
        </w:rPr>
      </w:pPr>
      <w:r>
        <w:rPr>
          <w:rFonts w:eastAsia="Malgun Gothic"/>
        </w:rPr>
        <w:t xml:space="preserve"> </w:t>
      </w:r>
    </w:p>
    <w:p w14:paraId="6F479AD5" w14:textId="77777777" w:rsidR="00337257" w:rsidRPr="00337257" w:rsidRDefault="00337257" w:rsidP="00337257">
      <w:pPr>
        <w:rPr>
          <w:lang w:eastAsia="zh-CN"/>
        </w:rPr>
      </w:pPr>
    </w:p>
    <w:p w14:paraId="2711395E" w14:textId="69D6E880" w:rsidR="00E07FF4" w:rsidRDefault="00081B2E" w:rsidP="00081B2E">
      <w:pPr>
        <w:pStyle w:val="Heading1"/>
      </w:pPr>
      <w:r>
        <w:t>References</w:t>
      </w:r>
    </w:p>
    <w:p w14:paraId="254BC23D" w14:textId="083551BE" w:rsidR="00861A88" w:rsidRDefault="00106DA0" w:rsidP="008345D0">
      <w:pPr>
        <w:rPr>
          <w:sz w:val="20"/>
          <w:szCs w:val="20"/>
        </w:rPr>
      </w:pPr>
      <w:r>
        <w:rPr>
          <w:sz w:val="20"/>
          <w:szCs w:val="20"/>
        </w:rPr>
        <w:t xml:space="preserve">[1] </w:t>
      </w:r>
      <w:r w:rsidR="00F541CA">
        <w:rPr>
          <w:sz w:val="20"/>
          <w:szCs w:val="20"/>
        </w:rPr>
        <w:t xml:space="preserve">RP-234035, </w:t>
      </w:r>
      <w:r w:rsidR="00F541CA" w:rsidRPr="00F541CA">
        <w:rPr>
          <w:sz w:val="20"/>
          <w:szCs w:val="20"/>
        </w:rPr>
        <w:t>New WID: Evolution of NR duplex operation: Sub-band full duplex (SBFD)</w:t>
      </w:r>
    </w:p>
    <w:p w14:paraId="008DA544" w14:textId="7B105DAF" w:rsidR="0038414F" w:rsidRDefault="0038414F" w:rsidP="008345D0">
      <w:pPr>
        <w:rPr>
          <w:sz w:val="20"/>
          <w:szCs w:val="20"/>
        </w:rPr>
      </w:pPr>
      <w:r>
        <w:rPr>
          <w:sz w:val="20"/>
          <w:szCs w:val="20"/>
        </w:rPr>
        <w:t xml:space="preserve">[2] </w:t>
      </w:r>
      <w:r w:rsidRPr="0038414F">
        <w:rPr>
          <w:sz w:val="20"/>
          <w:szCs w:val="20"/>
        </w:rPr>
        <w:t>TR38.858, Study on Evolution of NR Duplex Operation (Rel-18)</w:t>
      </w:r>
    </w:p>
    <w:p w14:paraId="12394B2F" w14:textId="77777777" w:rsidR="00106DA0" w:rsidRPr="00505F85" w:rsidRDefault="00106DA0" w:rsidP="00505F85">
      <w:pPr>
        <w:rPr>
          <w:sz w:val="20"/>
          <w:szCs w:val="20"/>
        </w:rPr>
      </w:pPr>
    </w:p>
    <w:p w14:paraId="6AB4F8DF" w14:textId="7EDA52E7" w:rsidR="00D23F30" w:rsidRDefault="00D23F30" w:rsidP="00D23F30">
      <w:pPr>
        <w:pStyle w:val="Heading1"/>
      </w:pPr>
      <w:r>
        <w:t>Appendix – Objectives of SBFD</w:t>
      </w:r>
    </w:p>
    <w:p w14:paraId="6F0F5FA8" w14:textId="77777777" w:rsidR="00D23F30" w:rsidRPr="004E3261" w:rsidRDefault="00D23F30" w:rsidP="00D23F30">
      <w:pPr>
        <w:pStyle w:val="Heading3"/>
        <w:rPr>
          <w:color w:val="0000FF"/>
        </w:rPr>
      </w:pPr>
      <w:r w:rsidRPr="004E3261">
        <w:rPr>
          <w:color w:val="0000FF"/>
        </w:rPr>
        <w:t>4.1</w:t>
      </w:r>
      <w:r w:rsidRPr="004E3261">
        <w:rPr>
          <w:color w:val="0000FF"/>
        </w:rPr>
        <w:tab/>
        <w:t xml:space="preserve">Objective </w:t>
      </w:r>
      <w:r>
        <w:rPr>
          <w:color w:val="0000FF"/>
        </w:rPr>
        <w:t>of Core part WI</w:t>
      </w:r>
    </w:p>
    <w:p w14:paraId="3BD59410" w14:textId="77777777" w:rsidR="00D23F30" w:rsidRDefault="00D23F30" w:rsidP="00D23F30">
      <w:pPr>
        <w:ind w:right="-99"/>
        <w:jc w:val="both"/>
        <w:rPr>
          <w:bCs/>
        </w:rPr>
      </w:pPr>
      <w:r>
        <w:rPr>
          <w:rFonts w:hint="eastAsia"/>
          <w:bCs/>
        </w:rPr>
        <w:t xml:space="preserve">The objectives are as </w:t>
      </w:r>
      <w:r>
        <w:rPr>
          <w:bCs/>
        </w:rPr>
        <w:t>follows</w:t>
      </w:r>
      <w:r>
        <w:rPr>
          <w:rFonts w:hint="eastAsia"/>
          <w:bCs/>
        </w:rPr>
        <w:t>:</w:t>
      </w:r>
    </w:p>
    <w:p w14:paraId="0B9DF02C" w14:textId="77777777" w:rsidR="00D23F30" w:rsidRDefault="00D23F30" w:rsidP="00D23F30">
      <w:pPr>
        <w:numPr>
          <w:ilvl w:val="0"/>
          <w:numId w:val="20"/>
        </w:numPr>
        <w:spacing w:after="160" w:line="256" w:lineRule="auto"/>
        <w:ind w:right="-99"/>
        <w:rPr>
          <w:rFonts w:eastAsia="Malgun Gothic"/>
        </w:rPr>
      </w:pPr>
      <w:r>
        <w:rPr>
          <w:rFonts w:eastAsia="Malgun Gothic"/>
        </w:rPr>
        <w:t xml:space="preserve">For </w:t>
      </w:r>
      <w:proofErr w:type="spellStart"/>
      <w:r>
        <w:rPr>
          <w:rFonts w:eastAsia="Malgun Gothic"/>
        </w:rPr>
        <w:t>subband</w:t>
      </w:r>
      <w:proofErr w:type="spellEnd"/>
      <w:r>
        <w:rPr>
          <w:rFonts w:eastAsia="Malgun Gothic"/>
        </w:rPr>
        <w:t xml:space="preserve"> non-overlapping full duplex (SBFD) operation at </w:t>
      </w:r>
      <w:proofErr w:type="spellStart"/>
      <w:r>
        <w:rPr>
          <w:rFonts w:eastAsia="Malgun Gothic"/>
        </w:rPr>
        <w:t>gNB</w:t>
      </w:r>
      <w:proofErr w:type="spellEnd"/>
      <w:r>
        <w:rPr>
          <w:rFonts w:eastAsia="Malgun Gothic"/>
        </w:rPr>
        <w:t xml:space="preserve"> side within a TDD carrier:</w:t>
      </w:r>
    </w:p>
    <w:p w14:paraId="451390F7"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t xml:space="preserve">Specify semi-static indication of time location of SBFD </w:t>
      </w:r>
      <w:proofErr w:type="spellStart"/>
      <w:r w:rsidRPr="003E0D9F">
        <w:rPr>
          <w:rFonts w:eastAsia="Malgun Gothic"/>
        </w:rPr>
        <w:t>subbands</w:t>
      </w:r>
      <w:proofErr w:type="spellEnd"/>
      <w:r w:rsidRPr="003E0D9F">
        <w:rPr>
          <w:rFonts w:eastAsia="Malgun Gothic"/>
        </w:rPr>
        <w:t xml:space="preserve"> to UEs in RRC_CONNECTED mode [RAN1, RAN2]</w:t>
      </w:r>
    </w:p>
    <w:p w14:paraId="1AAD2A6D"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 xml:space="preserve">Indication of time location of SBFD </w:t>
      </w:r>
      <w:proofErr w:type="spellStart"/>
      <w:r w:rsidRPr="003E0D9F">
        <w:rPr>
          <w:rFonts w:eastAsia="Malgun Gothic"/>
        </w:rPr>
        <w:t>subbands</w:t>
      </w:r>
      <w:proofErr w:type="spellEnd"/>
      <w:r w:rsidRPr="003E0D9F">
        <w:rPr>
          <w:rFonts w:eastAsia="Malgun Gothic"/>
        </w:rPr>
        <w:t xml:space="preserve"> in SIB is not precluded</w:t>
      </w:r>
    </w:p>
    <w:p w14:paraId="00415126"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t xml:space="preserve">Specify semi-static indication of frequency domain location of SBFD </w:t>
      </w:r>
      <w:proofErr w:type="spellStart"/>
      <w:r w:rsidRPr="003E0D9F">
        <w:rPr>
          <w:rFonts w:eastAsia="Malgun Gothic"/>
        </w:rPr>
        <w:t>subbands</w:t>
      </w:r>
      <w:proofErr w:type="spellEnd"/>
      <w:r w:rsidRPr="003E0D9F">
        <w:rPr>
          <w:rFonts w:eastAsia="Malgun Gothic"/>
        </w:rPr>
        <w:t xml:space="preserve"> to UEs in RRC_CONNECTED mode [RAN1, RAN2]</w:t>
      </w:r>
    </w:p>
    <w:p w14:paraId="64D2BF19"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 xml:space="preserve">Indication of frequency domain location of SBFD </w:t>
      </w:r>
      <w:proofErr w:type="spellStart"/>
      <w:r w:rsidRPr="003E0D9F">
        <w:rPr>
          <w:rFonts w:eastAsia="Malgun Gothic"/>
        </w:rPr>
        <w:t>subbands</w:t>
      </w:r>
      <w:proofErr w:type="spellEnd"/>
      <w:r w:rsidRPr="003E0D9F">
        <w:rPr>
          <w:rFonts w:eastAsia="Malgun Gothic"/>
        </w:rPr>
        <w:t xml:space="preserve"> in SIB is not precluded</w:t>
      </w:r>
    </w:p>
    <w:p w14:paraId="03FA06F1" w14:textId="77777777" w:rsidR="00D23F30" w:rsidRPr="001D07EF" w:rsidRDefault="00D23F30" w:rsidP="00D23F30">
      <w:pPr>
        <w:numPr>
          <w:ilvl w:val="1"/>
          <w:numId w:val="20"/>
        </w:numPr>
        <w:overflowPunct w:val="0"/>
        <w:autoSpaceDE w:val="0"/>
        <w:autoSpaceDN w:val="0"/>
        <w:adjustRightInd w:val="0"/>
        <w:spacing w:after="180"/>
        <w:textAlignment w:val="baseline"/>
        <w:rPr>
          <w:lang w:eastAsia="zh-CN"/>
        </w:rPr>
      </w:pPr>
      <w:r w:rsidRPr="001D07EF">
        <w:rPr>
          <w:lang w:eastAsia="zh-CN"/>
        </w:rPr>
        <w:t>Specify SBFD operation to support random access in SBFD symbols by UEs in RRC CONNECTED mode [RAN1, RAN2]</w:t>
      </w:r>
    </w:p>
    <w:p w14:paraId="29E8F9C9" w14:textId="77777777" w:rsidR="00D23F30" w:rsidRPr="003E0D9F" w:rsidRDefault="00D23F30" w:rsidP="00D23F30">
      <w:pPr>
        <w:numPr>
          <w:ilvl w:val="1"/>
          <w:numId w:val="20"/>
        </w:numPr>
        <w:spacing w:after="160" w:line="256" w:lineRule="auto"/>
        <w:ind w:right="-99"/>
        <w:rPr>
          <w:rFonts w:eastAsia="Malgun Gothic"/>
        </w:rPr>
      </w:pPr>
      <w:r w:rsidRPr="003E0D9F">
        <w:rPr>
          <w:lang w:eastAsia="zh-CN"/>
        </w:rPr>
        <w:t>Study and specify, if justified, SBFD operation to UE in RRC_IDLE/INACTIVE mode for random access</w:t>
      </w:r>
      <w:r>
        <w:rPr>
          <w:lang w:eastAsia="zh-CN"/>
        </w:rPr>
        <w:t xml:space="preserve"> [RAN1, RAN2]</w:t>
      </w:r>
    </w:p>
    <w:p w14:paraId="69C34A44" w14:textId="77777777" w:rsidR="00D23F30" w:rsidRPr="003E0D9F" w:rsidRDefault="00D23F30" w:rsidP="00D23F30">
      <w:pPr>
        <w:numPr>
          <w:ilvl w:val="2"/>
          <w:numId w:val="20"/>
        </w:numPr>
        <w:spacing w:after="160" w:line="256" w:lineRule="auto"/>
        <w:ind w:right="-99"/>
        <w:rPr>
          <w:rFonts w:eastAsia="Malgun Gothic"/>
        </w:rPr>
      </w:pPr>
      <w:r w:rsidRPr="003E0D9F">
        <w:rPr>
          <w:lang w:eastAsia="zh-CN"/>
        </w:rPr>
        <w:t>RAN#104 to check whether to proceed normative work</w:t>
      </w:r>
    </w:p>
    <w:p w14:paraId="04050007"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lastRenderedPageBreak/>
        <w:t xml:space="preserve">Specify UE transmission, reception and measurement behavior and procedures in SBFD symbols and/or non-SBFD symbols for SBFD </w:t>
      </w:r>
      <w:r>
        <w:rPr>
          <w:rFonts w:eastAsia="Malgun Gothic"/>
        </w:rPr>
        <w:t>aware</w:t>
      </w:r>
      <w:r w:rsidRPr="003E0D9F">
        <w:rPr>
          <w:rFonts w:eastAsia="Malgun Gothic"/>
        </w:rPr>
        <w:t xml:space="preserve"> UE</w:t>
      </w:r>
      <w:r>
        <w:rPr>
          <w:rFonts w:eastAsia="Malgun Gothic"/>
        </w:rPr>
        <w:t xml:space="preserve"> </w:t>
      </w:r>
      <w:r w:rsidRPr="003E0D9F">
        <w:rPr>
          <w:rFonts w:eastAsia="Malgun Gothic"/>
        </w:rPr>
        <w:t>[RAN1, RAN2]</w:t>
      </w:r>
    </w:p>
    <w:p w14:paraId="4EDEC08B"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 xml:space="preserve">Transmission and reception </w:t>
      </w:r>
      <w:proofErr w:type="spellStart"/>
      <w:r w:rsidRPr="003E0D9F">
        <w:rPr>
          <w:rFonts w:eastAsia="Malgun Gothic"/>
        </w:rPr>
        <w:t>behaviours</w:t>
      </w:r>
      <w:proofErr w:type="spellEnd"/>
      <w:r w:rsidRPr="003E0D9F">
        <w:rPr>
          <w:rFonts w:eastAsia="Malgun Gothic"/>
        </w:rPr>
        <w:t xml:space="preserve"> on SBFD </w:t>
      </w:r>
      <w:proofErr w:type="spellStart"/>
      <w:r w:rsidRPr="003E0D9F">
        <w:rPr>
          <w:rFonts w:eastAsia="Malgun Gothic"/>
        </w:rPr>
        <w:t>subbands</w:t>
      </w:r>
      <w:proofErr w:type="spellEnd"/>
      <w:r w:rsidRPr="003E0D9F">
        <w:rPr>
          <w:rFonts w:eastAsia="Malgun Gothic"/>
        </w:rPr>
        <w:t xml:space="preserve"> configured in DL and/or flexible symbol indicated by </w:t>
      </w:r>
      <w:r w:rsidRPr="003E0D9F">
        <w:rPr>
          <w:rFonts w:eastAsia="Malgun Gothic"/>
          <w:i/>
          <w:iCs/>
        </w:rPr>
        <w:t>TDD-UL-DL-</w:t>
      </w:r>
      <w:proofErr w:type="spellStart"/>
      <w:r w:rsidRPr="003E0D9F">
        <w:rPr>
          <w:rFonts w:eastAsia="Malgun Gothic"/>
          <w:i/>
          <w:iCs/>
        </w:rPr>
        <w:t>ConfigCommon</w:t>
      </w:r>
      <w:proofErr w:type="spellEnd"/>
    </w:p>
    <w:p w14:paraId="528D7095" w14:textId="77777777" w:rsidR="00D23F30" w:rsidRPr="003E0D9F" w:rsidRDefault="00D23F30" w:rsidP="00D23F30">
      <w:pPr>
        <w:numPr>
          <w:ilvl w:val="3"/>
          <w:numId w:val="20"/>
        </w:numPr>
        <w:spacing w:after="160" w:line="256" w:lineRule="auto"/>
        <w:ind w:right="-99"/>
        <w:rPr>
          <w:rFonts w:eastAsia="Malgun Gothic"/>
        </w:rPr>
      </w:pPr>
      <w:r w:rsidRPr="003E0D9F">
        <w:rPr>
          <w:rFonts w:eastAsia="Malgun Gothic"/>
        </w:rPr>
        <w:t xml:space="preserve">UL transmissions within UL </w:t>
      </w:r>
      <w:proofErr w:type="spellStart"/>
      <w:r w:rsidRPr="003E0D9F">
        <w:rPr>
          <w:rFonts w:eastAsia="Malgun Gothic"/>
        </w:rPr>
        <w:t>subband</w:t>
      </w:r>
      <w:proofErr w:type="spellEnd"/>
      <w:r w:rsidRPr="003E0D9F">
        <w:rPr>
          <w:rFonts w:eastAsia="Malgun Gothic"/>
        </w:rPr>
        <w:t xml:space="preserve"> only</w:t>
      </w:r>
    </w:p>
    <w:p w14:paraId="1724E709" w14:textId="77777777" w:rsidR="00D23F30" w:rsidRPr="003E0D9F" w:rsidRDefault="00D23F30" w:rsidP="00D23F30">
      <w:pPr>
        <w:numPr>
          <w:ilvl w:val="3"/>
          <w:numId w:val="20"/>
        </w:numPr>
        <w:spacing w:after="160" w:line="256" w:lineRule="auto"/>
        <w:ind w:right="-99"/>
        <w:rPr>
          <w:rFonts w:eastAsia="Malgun Gothic"/>
        </w:rPr>
      </w:pPr>
      <w:r w:rsidRPr="003E0D9F">
        <w:rPr>
          <w:rFonts w:eastAsia="Malgun Gothic"/>
        </w:rPr>
        <w:t xml:space="preserve">DL receptions within DL </w:t>
      </w:r>
      <w:proofErr w:type="spellStart"/>
      <w:r w:rsidRPr="003E0D9F">
        <w:rPr>
          <w:rFonts w:eastAsia="Malgun Gothic"/>
        </w:rPr>
        <w:t>subband</w:t>
      </w:r>
      <w:proofErr w:type="spellEnd"/>
      <w:r w:rsidRPr="003E0D9F">
        <w:rPr>
          <w:rFonts w:eastAsia="Malgun Gothic"/>
        </w:rPr>
        <w:t xml:space="preserve">(s) only, except for CLI measurement by the UE outside of the DL </w:t>
      </w:r>
      <w:proofErr w:type="spellStart"/>
      <w:r w:rsidRPr="003E0D9F">
        <w:rPr>
          <w:rFonts w:eastAsia="Malgun Gothic"/>
        </w:rPr>
        <w:t>subbands</w:t>
      </w:r>
      <w:proofErr w:type="spellEnd"/>
    </w:p>
    <w:p w14:paraId="7DC0151D" w14:textId="18AB5AB4" w:rsidR="00D23F30" w:rsidRPr="003E0D9F" w:rsidRDefault="00D23F30" w:rsidP="00D23F30">
      <w:pPr>
        <w:spacing w:after="160" w:line="256" w:lineRule="auto"/>
        <w:ind w:left="2520" w:right="-99"/>
        <w:rPr>
          <w:rFonts w:eastAsia="Malgun Gothic"/>
        </w:rPr>
      </w:pPr>
      <w:r w:rsidRPr="003E0D9F">
        <w:rPr>
          <w:rFonts w:eastAsia="Malgun Gothic"/>
        </w:rPr>
        <w:t xml:space="preserve">Note: </w:t>
      </w:r>
      <w:r w:rsidRPr="003E0D9F">
        <w:rPr>
          <w:lang w:eastAsia="zh-CN"/>
        </w:rPr>
        <w:t>When flexible symbols are used, it is not expected that any legacy Uplink symbol is converted to Downlink/SBFD symbols</w:t>
      </w:r>
      <w:r>
        <w:rPr>
          <w:lang w:eastAsia="zh-CN"/>
        </w:rPr>
        <w:t xml:space="preserve">. </w:t>
      </w:r>
    </w:p>
    <w:p w14:paraId="4CF6F95D"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Enhancement on resource allocation in frequency domain in SBFD symbols, including</w:t>
      </w:r>
    </w:p>
    <w:p w14:paraId="39C93A21" w14:textId="77777777" w:rsidR="00D23F30" w:rsidRPr="003E0D9F" w:rsidRDefault="00D23F30" w:rsidP="00D23F30">
      <w:pPr>
        <w:numPr>
          <w:ilvl w:val="3"/>
          <w:numId w:val="20"/>
        </w:numPr>
        <w:spacing w:after="160" w:line="256" w:lineRule="auto"/>
        <w:ind w:right="-99"/>
        <w:rPr>
          <w:rFonts w:eastAsia="Malgun Gothic"/>
        </w:rPr>
      </w:pPr>
      <w:r w:rsidRPr="003E0D9F">
        <w:rPr>
          <w:rFonts w:eastAsia="Malgun Gothic"/>
        </w:rPr>
        <w:t xml:space="preserve">resource allocation in frequency domain for PDSCH/CSI-RS across two DL </w:t>
      </w:r>
      <w:proofErr w:type="spellStart"/>
      <w:r w:rsidRPr="003E0D9F">
        <w:rPr>
          <w:rFonts w:eastAsia="Malgun Gothic"/>
        </w:rPr>
        <w:t>subbands</w:t>
      </w:r>
      <w:proofErr w:type="spellEnd"/>
      <w:r w:rsidRPr="003E0D9F">
        <w:rPr>
          <w:rFonts w:eastAsia="Malgun Gothic"/>
        </w:rPr>
        <w:t xml:space="preserve"> in SBFD symbols</w:t>
      </w:r>
    </w:p>
    <w:p w14:paraId="77C7D98E" w14:textId="77777777" w:rsidR="00D23F30" w:rsidRPr="003E0D9F" w:rsidRDefault="00D23F30" w:rsidP="00D23F30">
      <w:pPr>
        <w:numPr>
          <w:ilvl w:val="3"/>
          <w:numId w:val="20"/>
        </w:numPr>
        <w:spacing w:after="160" w:line="256" w:lineRule="auto"/>
        <w:ind w:right="-99"/>
        <w:rPr>
          <w:rFonts w:eastAsia="Malgun Gothic"/>
        </w:rPr>
      </w:pPr>
      <w:r w:rsidRPr="003E0D9F">
        <w:rPr>
          <w:rFonts w:eastAsia="Malgun Gothic"/>
        </w:rPr>
        <w:t xml:space="preserve">handling of unaligned boundaries between SBFD </w:t>
      </w:r>
      <w:proofErr w:type="spellStart"/>
      <w:r w:rsidRPr="003E0D9F">
        <w:rPr>
          <w:rFonts w:eastAsia="Malgun Gothic"/>
        </w:rPr>
        <w:t>subband</w:t>
      </w:r>
      <w:proofErr w:type="spellEnd"/>
      <w:r w:rsidRPr="003E0D9F">
        <w:rPr>
          <w:rFonts w:eastAsia="Malgun Gothic"/>
        </w:rPr>
        <w:t xml:space="preserve">(s) and RBG, CSI reporting </w:t>
      </w:r>
      <w:proofErr w:type="spellStart"/>
      <w:r w:rsidRPr="003E0D9F">
        <w:rPr>
          <w:rFonts w:eastAsia="Malgun Gothic"/>
        </w:rPr>
        <w:t>subband</w:t>
      </w:r>
      <w:proofErr w:type="spellEnd"/>
      <w:r w:rsidRPr="003E0D9F">
        <w:rPr>
          <w:rFonts w:eastAsia="Malgun Gothic"/>
        </w:rPr>
        <w:t>, CSI-RS resource, PRG</w:t>
      </w:r>
    </w:p>
    <w:p w14:paraId="48F2070F"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Enhancements on physical channels/signals and procedure across SBFD symbols and non-SBFD symbols in different slots, where each transmission/reception within a slot has either all SBFD or all non-SBFD symbols, including</w:t>
      </w:r>
    </w:p>
    <w:p w14:paraId="0805A8A3" w14:textId="77777777" w:rsidR="00D23F30" w:rsidRPr="003E0D9F" w:rsidRDefault="00D23F30" w:rsidP="00D23F30">
      <w:pPr>
        <w:numPr>
          <w:ilvl w:val="3"/>
          <w:numId w:val="20"/>
        </w:numPr>
        <w:spacing w:after="160" w:line="256" w:lineRule="auto"/>
        <w:ind w:right="-99"/>
        <w:rPr>
          <w:rFonts w:eastAsia="Malgun Gothic"/>
        </w:rPr>
      </w:pPr>
      <w:r w:rsidRPr="003E0D9F">
        <w:rPr>
          <w:rFonts w:eastAsia="Malgun Gothic"/>
        </w:rPr>
        <w:t>resource allocation in frequency domain for transmission or reception in SBFD symbols and non-SBFD symbols with different available frequency resource in different slots</w:t>
      </w:r>
    </w:p>
    <w:p w14:paraId="5C23350D" w14:textId="77777777" w:rsidR="00D23F30" w:rsidRPr="003E0D9F" w:rsidRDefault="00D23F30" w:rsidP="00D23F30">
      <w:pPr>
        <w:numPr>
          <w:ilvl w:val="3"/>
          <w:numId w:val="20"/>
        </w:numPr>
        <w:spacing w:after="160" w:line="256" w:lineRule="auto"/>
        <w:ind w:right="-99"/>
        <w:rPr>
          <w:rFonts w:eastAsia="Malgun Gothic"/>
        </w:rPr>
      </w:pPr>
      <w:r w:rsidRPr="003E0D9F">
        <w:rPr>
          <w:rFonts w:eastAsia="Malgun Gothic"/>
        </w:rPr>
        <w:t>CSI report of which associated CSI-RS instances occur in both SBFD symbols and non-SBFD symbols in different slots</w:t>
      </w:r>
    </w:p>
    <w:p w14:paraId="4DB72AA2"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Configurations for SRS, PUCCH and PUSCH on SBFD symbols and non-SBFD symbols, e.g., resources, frequency hopping parameters, UL power control parameters and/or beam/spatial relation</w:t>
      </w:r>
    </w:p>
    <w:p w14:paraId="06EB6CCF"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 xml:space="preserve">Collision handling between DL reception in DL </w:t>
      </w:r>
      <w:proofErr w:type="spellStart"/>
      <w:r w:rsidRPr="003E0D9F">
        <w:rPr>
          <w:rFonts w:eastAsia="Malgun Gothic"/>
        </w:rPr>
        <w:t>subband</w:t>
      </w:r>
      <w:proofErr w:type="spellEnd"/>
      <w:r w:rsidRPr="003E0D9F">
        <w:rPr>
          <w:rFonts w:eastAsia="Malgun Gothic"/>
        </w:rPr>
        <w:t xml:space="preserve">(s) and UL transmission in UL </w:t>
      </w:r>
      <w:proofErr w:type="spellStart"/>
      <w:r w:rsidRPr="003E0D9F">
        <w:rPr>
          <w:rFonts w:eastAsia="Malgun Gothic"/>
        </w:rPr>
        <w:t>subband</w:t>
      </w:r>
      <w:proofErr w:type="spellEnd"/>
      <w:r w:rsidRPr="003E0D9F">
        <w:rPr>
          <w:rFonts w:eastAsia="Malgun Gothic"/>
        </w:rPr>
        <w:t xml:space="preserve"> in a SBFD symbol</w:t>
      </w:r>
    </w:p>
    <w:p w14:paraId="10BA0084"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t>Followings are assumed based on TR 38.858</w:t>
      </w:r>
    </w:p>
    <w:p w14:paraId="4AB28E16"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 xml:space="preserve">SBFD at the </w:t>
      </w:r>
      <w:proofErr w:type="spellStart"/>
      <w:r w:rsidRPr="003E0D9F">
        <w:rPr>
          <w:rFonts w:eastAsia="Malgun Gothic"/>
        </w:rPr>
        <w:t>gNB</w:t>
      </w:r>
      <w:proofErr w:type="spellEnd"/>
      <w:r w:rsidRPr="003E0D9F">
        <w:rPr>
          <w:rFonts w:eastAsia="Malgun Gothic"/>
        </w:rPr>
        <w:t xml:space="preserve"> side</w:t>
      </w:r>
    </w:p>
    <w:p w14:paraId="3F01BC6E"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Half duplex operation at the UE side</w:t>
      </w:r>
    </w:p>
    <w:p w14:paraId="40A6AB04"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FR1 and FR2-1</w:t>
      </w:r>
    </w:p>
    <w:p w14:paraId="54FB973D"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SBFD operation Option 4</w:t>
      </w:r>
      <w:r>
        <w:rPr>
          <w:rFonts w:eastAsia="Malgun Gothic"/>
        </w:rPr>
        <w:t xml:space="preserve">, i.e., both time and frequency locations of </w:t>
      </w:r>
      <w:proofErr w:type="spellStart"/>
      <w:r>
        <w:rPr>
          <w:rFonts w:eastAsia="Malgun Gothic"/>
        </w:rPr>
        <w:t>subbands</w:t>
      </w:r>
      <w:proofErr w:type="spellEnd"/>
      <w:r>
        <w:rPr>
          <w:rFonts w:eastAsia="Malgun Gothic"/>
        </w:rPr>
        <w:t xml:space="preserve"> for SBFD operation are known to SBFD aware UEs</w:t>
      </w:r>
    </w:p>
    <w:p w14:paraId="52E5D062"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Coexistence between</w:t>
      </w:r>
      <w:r>
        <w:rPr>
          <w:rFonts w:eastAsia="Malgun Gothic"/>
        </w:rPr>
        <w:t xml:space="preserve"> non-SBFD aware UEs</w:t>
      </w:r>
      <w:r w:rsidRPr="003E0D9F">
        <w:rPr>
          <w:rFonts w:eastAsia="Malgun Gothic"/>
        </w:rPr>
        <w:t xml:space="preserve"> </w:t>
      </w:r>
      <w:r>
        <w:rPr>
          <w:rFonts w:eastAsia="Malgun Gothic"/>
        </w:rPr>
        <w:t xml:space="preserve">(including </w:t>
      </w:r>
      <w:r w:rsidRPr="003E0D9F">
        <w:rPr>
          <w:rFonts w:eastAsia="Malgun Gothic"/>
        </w:rPr>
        <w:t>legacy UEs</w:t>
      </w:r>
      <w:r>
        <w:rPr>
          <w:rFonts w:eastAsia="Malgun Gothic"/>
        </w:rPr>
        <w:t>)</w:t>
      </w:r>
      <w:r w:rsidRPr="003E0D9F">
        <w:rPr>
          <w:rFonts w:eastAsia="Malgun Gothic"/>
        </w:rPr>
        <w:t xml:space="preserve"> and SBFD aware U</w:t>
      </w:r>
      <w:r>
        <w:rPr>
          <w:rFonts w:eastAsia="Malgun Gothic"/>
        </w:rPr>
        <w:t>E</w:t>
      </w:r>
      <w:r w:rsidRPr="003E0D9F">
        <w:rPr>
          <w:rFonts w:eastAsia="Malgun Gothic"/>
        </w:rPr>
        <w:t xml:space="preserve">s in the cell operating SBFD at </w:t>
      </w:r>
      <w:proofErr w:type="spellStart"/>
      <w:r w:rsidRPr="003E0D9F">
        <w:rPr>
          <w:rFonts w:eastAsia="Malgun Gothic"/>
        </w:rPr>
        <w:t>gNB</w:t>
      </w:r>
      <w:proofErr w:type="spellEnd"/>
      <w:r w:rsidRPr="003E0D9F">
        <w:rPr>
          <w:rFonts w:eastAsia="Malgun Gothic"/>
        </w:rPr>
        <w:t xml:space="preserve"> side</w:t>
      </w:r>
    </w:p>
    <w:p w14:paraId="5578158B" w14:textId="77777777" w:rsidR="00D23F30" w:rsidRPr="003E0D9F" w:rsidRDefault="00D23F30" w:rsidP="00D23F30">
      <w:pPr>
        <w:numPr>
          <w:ilvl w:val="2"/>
          <w:numId w:val="20"/>
        </w:numPr>
        <w:spacing w:after="160" w:line="256" w:lineRule="auto"/>
        <w:ind w:right="-99"/>
        <w:rPr>
          <w:rFonts w:eastAsia="Malgun Gothic"/>
        </w:rPr>
      </w:pPr>
      <w:r w:rsidRPr="003E0D9F">
        <w:rPr>
          <w:rFonts w:eastAsia="Malgun Gothic"/>
        </w:rPr>
        <w:t>SBFD scheme within a single configured DL and UL BWP pair with aligned center frequencies</w:t>
      </w:r>
    </w:p>
    <w:p w14:paraId="7ADF5C72" w14:textId="160CC962" w:rsidR="00D23F30" w:rsidRPr="003E0D9F" w:rsidRDefault="00D23F30" w:rsidP="00D23F30">
      <w:pPr>
        <w:numPr>
          <w:ilvl w:val="2"/>
          <w:numId w:val="20"/>
        </w:numPr>
        <w:spacing w:after="160" w:line="256" w:lineRule="auto"/>
        <w:ind w:right="-99"/>
        <w:rPr>
          <w:rFonts w:eastAsia="Malgun Gothic"/>
        </w:rPr>
      </w:pPr>
      <w:r>
        <w:rPr>
          <w:rFonts w:eastAsia="Malgun Gothic"/>
        </w:rPr>
        <w:t>O</w:t>
      </w:r>
      <w:r w:rsidRPr="003E0D9F">
        <w:rPr>
          <w:rFonts w:eastAsia="Malgun Gothic"/>
        </w:rPr>
        <w:t xml:space="preserve">ne UL </w:t>
      </w:r>
      <w:proofErr w:type="spellStart"/>
      <w:r w:rsidRPr="003E0D9F">
        <w:rPr>
          <w:rFonts w:eastAsia="Malgun Gothic"/>
        </w:rPr>
        <w:t>subband</w:t>
      </w:r>
      <w:proofErr w:type="spellEnd"/>
      <w:r w:rsidRPr="003E0D9F">
        <w:rPr>
          <w:rFonts w:eastAsia="Malgun Gothic"/>
        </w:rPr>
        <w:t xml:space="preserve"> for SBFD operation in an SBFD symbol (excluding legacy UL symbol/slot) within a TDD carrier</w:t>
      </w:r>
      <w:r>
        <w:rPr>
          <w:rFonts w:eastAsia="Malgun Gothic"/>
        </w:rPr>
        <w:t xml:space="preserve">. </w:t>
      </w:r>
    </w:p>
    <w:p w14:paraId="65EA7148" w14:textId="77777777" w:rsidR="00D23F30" w:rsidRPr="003E0D9F" w:rsidRDefault="00D23F30" w:rsidP="00D23F30">
      <w:pPr>
        <w:numPr>
          <w:ilvl w:val="2"/>
          <w:numId w:val="20"/>
        </w:numPr>
        <w:spacing w:after="160" w:line="256" w:lineRule="auto"/>
        <w:ind w:right="-99"/>
        <w:rPr>
          <w:rFonts w:eastAsia="Malgun Gothic"/>
        </w:rPr>
      </w:pPr>
      <w:r w:rsidRPr="003E0D9F">
        <w:rPr>
          <w:lang w:eastAsia="zh-CN"/>
        </w:rPr>
        <w:lastRenderedPageBreak/>
        <w:t xml:space="preserve">Mechanisms for SBFD operation shall also consider the </w:t>
      </w:r>
      <w:r w:rsidRPr="003E0D9F">
        <w:rPr>
          <w:rFonts w:eastAsia="Malgun Gothic"/>
        </w:rPr>
        <w:t>adjacent channel coexistence between two operators</w:t>
      </w:r>
    </w:p>
    <w:p w14:paraId="6E08B856" w14:textId="77777777" w:rsidR="00D23F30" w:rsidRPr="003E0D9F" w:rsidRDefault="00D23F30" w:rsidP="00D23F30">
      <w:pPr>
        <w:numPr>
          <w:ilvl w:val="0"/>
          <w:numId w:val="20"/>
        </w:numPr>
        <w:spacing w:after="160" w:line="256" w:lineRule="auto"/>
        <w:ind w:right="-99"/>
        <w:rPr>
          <w:rFonts w:eastAsia="Malgun Gothic"/>
        </w:rPr>
      </w:pPr>
      <w:r w:rsidRPr="003E0D9F">
        <w:rPr>
          <w:rFonts w:eastAsia="Malgun Gothic"/>
        </w:rPr>
        <w:t>Specify enhancements for CLI handling [RAN1, RAN2, RAN3]:</w:t>
      </w:r>
    </w:p>
    <w:p w14:paraId="5F94ABA2"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t xml:space="preserve">Support </w:t>
      </w:r>
      <w:proofErr w:type="spellStart"/>
      <w:r w:rsidRPr="003E0D9F">
        <w:rPr>
          <w:rFonts w:eastAsia="Malgun Gothic"/>
        </w:rPr>
        <w:t>gNB</w:t>
      </w:r>
      <w:proofErr w:type="spellEnd"/>
      <w:r w:rsidRPr="003E0D9F">
        <w:rPr>
          <w:rFonts w:eastAsia="Malgun Gothic"/>
        </w:rPr>
        <w:t>-to-</w:t>
      </w:r>
      <w:proofErr w:type="spellStart"/>
      <w:r w:rsidRPr="003E0D9F">
        <w:rPr>
          <w:rFonts w:eastAsia="Malgun Gothic"/>
        </w:rPr>
        <w:t>gNB</w:t>
      </w:r>
      <w:proofErr w:type="spellEnd"/>
      <w:r w:rsidRPr="003E0D9F">
        <w:rPr>
          <w:rFonts w:eastAsia="Malgun Gothic"/>
        </w:rPr>
        <w:t xml:space="preserve"> co-channel CLI handling scheme(s) (the detailed schemes are to be down-selected from those in TR38.858 by RAN1#117)</w:t>
      </w:r>
    </w:p>
    <w:p w14:paraId="6589515F"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t xml:space="preserve">Support UE-to-UE co-channel CLI handling scheme(s) (the detailed schemes are to be down-selected from those in TR38.858 by RAN1#117) </w:t>
      </w:r>
    </w:p>
    <w:p w14:paraId="60039C73" w14:textId="77777777" w:rsidR="00D23F30" w:rsidRPr="003E0D9F" w:rsidRDefault="00D23F30" w:rsidP="00D23F30">
      <w:pPr>
        <w:numPr>
          <w:ilvl w:val="1"/>
          <w:numId w:val="20"/>
        </w:numPr>
        <w:spacing w:after="160" w:line="256" w:lineRule="auto"/>
        <w:ind w:right="-99"/>
        <w:rPr>
          <w:rFonts w:eastAsia="Malgun Gothic"/>
        </w:rPr>
      </w:pPr>
      <w:r w:rsidRPr="003E0D9F">
        <w:rPr>
          <w:rFonts w:eastAsia="Malgun Gothic"/>
        </w:rPr>
        <w:t xml:space="preserve">Note: Without dedicated optimization for dynamic/flexible TDD. </w:t>
      </w:r>
    </w:p>
    <w:p w14:paraId="0595DA0C" w14:textId="77777777" w:rsidR="00D23F30" w:rsidRDefault="00D23F30" w:rsidP="00D23F30">
      <w:pPr>
        <w:numPr>
          <w:ilvl w:val="0"/>
          <w:numId w:val="20"/>
        </w:numPr>
        <w:spacing w:after="160" w:line="256" w:lineRule="auto"/>
        <w:ind w:right="-99"/>
        <w:rPr>
          <w:rFonts w:eastAsia="Malgun Gothic"/>
        </w:rPr>
      </w:pPr>
      <w:r w:rsidRPr="003E0D9F">
        <w:rPr>
          <w:rFonts w:eastAsia="Malgun Gothic"/>
        </w:rPr>
        <w:t xml:space="preserve">Specify BS RF requirements for SBFD operation at </w:t>
      </w:r>
      <w:proofErr w:type="spellStart"/>
      <w:r w:rsidRPr="003E0D9F">
        <w:rPr>
          <w:rFonts w:eastAsia="Malgun Gothic"/>
        </w:rPr>
        <w:t>gNB</w:t>
      </w:r>
      <w:proofErr w:type="spellEnd"/>
      <w:r w:rsidRPr="003E0D9F">
        <w:rPr>
          <w:rFonts w:eastAsia="Malgun Gothic"/>
        </w:rPr>
        <w:t xml:space="preserve"> [RAN4]</w:t>
      </w:r>
    </w:p>
    <w:p w14:paraId="40E81049" w14:textId="77777777" w:rsidR="00D23F30" w:rsidRPr="00090C79" w:rsidRDefault="00D23F30" w:rsidP="00D23F30">
      <w:pPr>
        <w:numPr>
          <w:ilvl w:val="0"/>
          <w:numId w:val="20"/>
        </w:numPr>
        <w:spacing w:after="160" w:line="256" w:lineRule="auto"/>
        <w:ind w:right="-99"/>
        <w:rPr>
          <w:rFonts w:eastAsia="Malgun Gothic"/>
        </w:rPr>
      </w:pPr>
      <w:r w:rsidRPr="00090C79">
        <w:rPr>
          <w:rFonts w:eastAsia="Malgun Gothic"/>
        </w:rPr>
        <w:t>Specify other RRM core requirements for SBFD operation, if identified [RAN4]</w:t>
      </w:r>
    </w:p>
    <w:p w14:paraId="1AC412BB" w14:textId="77777777" w:rsidR="00D23F30" w:rsidRPr="00D23F30" w:rsidRDefault="00D23F30" w:rsidP="00D23F30">
      <w:pPr>
        <w:rPr>
          <w:lang w:eastAsia="zh-CN"/>
        </w:rPr>
      </w:pPr>
    </w:p>
    <w:p w14:paraId="131B9129" w14:textId="77777777" w:rsidR="00505F85" w:rsidRPr="00E07FF4" w:rsidRDefault="00505F85" w:rsidP="00E07FF4"/>
    <w:sectPr w:rsidR="00505F85" w:rsidRPr="00E07FF4" w:rsidSect="003277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23844" w14:textId="77777777" w:rsidR="006747F5" w:rsidRDefault="006747F5">
      <w:r>
        <w:separator/>
      </w:r>
    </w:p>
  </w:endnote>
  <w:endnote w:type="continuationSeparator" w:id="0">
    <w:p w14:paraId="79127614" w14:textId="77777777" w:rsidR="006747F5" w:rsidRDefault="0067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C9F5" w14:textId="77777777" w:rsidR="006747F5" w:rsidRDefault="006747F5">
      <w:r>
        <w:separator/>
      </w:r>
    </w:p>
  </w:footnote>
  <w:footnote w:type="continuationSeparator" w:id="0">
    <w:p w14:paraId="2379F2E1" w14:textId="77777777" w:rsidR="006747F5" w:rsidRDefault="00674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95FB0"/>
    <w:multiLevelType w:val="hybridMultilevel"/>
    <w:tmpl w:val="8B502834"/>
    <w:lvl w:ilvl="0" w:tplc="A9EE8F08">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3D3E3E"/>
    <w:multiLevelType w:val="hybridMultilevel"/>
    <w:tmpl w:val="74D8FB70"/>
    <w:lvl w:ilvl="0" w:tplc="AA3653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D605A"/>
    <w:multiLevelType w:val="hybridMultilevel"/>
    <w:tmpl w:val="8E84C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9" w15:restartNumberingAfterBreak="0">
    <w:nsid w:val="1AA9693C"/>
    <w:multiLevelType w:val="multilevel"/>
    <w:tmpl w:val="F140E9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1256C92"/>
    <w:multiLevelType w:val="hybridMultilevel"/>
    <w:tmpl w:val="D2BE5F10"/>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94E40"/>
    <w:multiLevelType w:val="hybridMultilevel"/>
    <w:tmpl w:val="1264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3495D"/>
    <w:multiLevelType w:val="hybridMultilevel"/>
    <w:tmpl w:val="526697C4"/>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49E07D3"/>
    <w:multiLevelType w:val="hybridMultilevel"/>
    <w:tmpl w:val="CF0C7BD6"/>
    <w:lvl w:ilvl="0" w:tplc="99A614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15D11"/>
    <w:multiLevelType w:val="hybridMultilevel"/>
    <w:tmpl w:val="80605284"/>
    <w:lvl w:ilvl="0" w:tplc="EFCC0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0513A"/>
    <w:multiLevelType w:val="hybridMultilevel"/>
    <w:tmpl w:val="07BC29BE"/>
    <w:lvl w:ilvl="0" w:tplc="04628F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72941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565342">
    <w:abstractNumId w:val="22"/>
  </w:num>
  <w:num w:numId="3" w16cid:durableId="865673340">
    <w:abstractNumId w:val="18"/>
  </w:num>
  <w:num w:numId="4" w16cid:durableId="1525441222">
    <w:abstractNumId w:val="14"/>
  </w:num>
  <w:num w:numId="5" w16cid:durableId="1041398065">
    <w:abstractNumId w:val="25"/>
  </w:num>
  <w:num w:numId="6" w16cid:durableId="1430807212">
    <w:abstractNumId w:val="23"/>
  </w:num>
  <w:num w:numId="7" w16cid:durableId="574318904">
    <w:abstractNumId w:val="11"/>
  </w:num>
  <w:num w:numId="8" w16cid:durableId="912617027">
    <w:abstractNumId w:val="4"/>
  </w:num>
  <w:num w:numId="9" w16cid:durableId="312637706">
    <w:abstractNumId w:val="6"/>
  </w:num>
  <w:num w:numId="10" w16cid:durableId="297881678">
    <w:abstractNumId w:val="12"/>
  </w:num>
  <w:num w:numId="11" w16cid:durableId="726145313">
    <w:abstractNumId w:val="3"/>
  </w:num>
  <w:num w:numId="12" w16cid:durableId="1880624468">
    <w:abstractNumId w:val="21"/>
  </w:num>
  <w:num w:numId="13" w16cid:durableId="1871526881">
    <w:abstractNumId w:val="5"/>
  </w:num>
  <w:num w:numId="14" w16cid:durableId="2143771381">
    <w:abstractNumId w:val="13"/>
  </w:num>
  <w:num w:numId="15" w16cid:durableId="1205677391">
    <w:abstractNumId w:val="9"/>
  </w:num>
  <w:num w:numId="16" w16cid:durableId="1949921669">
    <w:abstractNumId w:val="7"/>
  </w:num>
  <w:num w:numId="17" w16cid:durableId="1859387623">
    <w:abstractNumId w:val="1"/>
  </w:num>
  <w:num w:numId="18" w16cid:durableId="1053894788">
    <w:abstractNumId w:val="24"/>
  </w:num>
  <w:num w:numId="19" w16cid:durableId="2124836789">
    <w:abstractNumId w:val="17"/>
  </w:num>
  <w:num w:numId="20" w16cid:durableId="1441341959">
    <w:abstractNumId w:val="10"/>
  </w:num>
  <w:num w:numId="21" w16cid:durableId="1522430812">
    <w:abstractNumId w:val="19"/>
  </w:num>
  <w:num w:numId="22" w16cid:durableId="39983053">
    <w:abstractNumId w:val="15"/>
  </w:num>
  <w:num w:numId="23" w16cid:durableId="1209992048">
    <w:abstractNumId w:val="8"/>
  </w:num>
  <w:num w:numId="24" w16cid:durableId="1324235564">
    <w:abstractNumId w:val="16"/>
  </w:num>
  <w:num w:numId="25" w16cid:durableId="1704355132">
    <w:abstractNumId w:val="20"/>
  </w:num>
  <w:num w:numId="26" w16cid:durableId="1380740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5C"/>
    <w:rsid w:val="00006EF7"/>
    <w:rsid w:val="00011074"/>
    <w:rsid w:val="0001220A"/>
    <w:rsid w:val="000132D1"/>
    <w:rsid w:val="00017B0E"/>
    <w:rsid w:val="000205C5"/>
    <w:rsid w:val="00021A97"/>
    <w:rsid w:val="00025316"/>
    <w:rsid w:val="00037B42"/>
    <w:rsid w:val="00037C06"/>
    <w:rsid w:val="00044DAE"/>
    <w:rsid w:val="00052BF8"/>
    <w:rsid w:val="0005429D"/>
    <w:rsid w:val="00057116"/>
    <w:rsid w:val="00061E5E"/>
    <w:rsid w:val="00064CB2"/>
    <w:rsid w:val="00066954"/>
    <w:rsid w:val="00067741"/>
    <w:rsid w:val="00072A56"/>
    <w:rsid w:val="00075FF4"/>
    <w:rsid w:val="00081B2E"/>
    <w:rsid w:val="00082CCB"/>
    <w:rsid w:val="00086D74"/>
    <w:rsid w:val="00087445"/>
    <w:rsid w:val="000902BB"/>
    <w:rsid w:val="00093420"/>
    <w:rsid w:val="000A2B51"/>
    <w:rsid w:val="000A2B90"/>
    <w:rsid w:val="000A3125"/>
    <w:rsid w:val="000A7BCC"/>
    <w:rsid w:val="000B0519"/>
    <w:rsid w:val="000B1ABD"/>
    <w:rsid w:val="000B1D80"/>
    <w:rsid w:val="000B61FD"/>
    <w:rsid w:val="000B6727"/>
    <w:rsid w:val="000B7283"/>
    <w:rsid w:val="000B74EA"/>
    <w:rsid w:val="000C0BF7"/>
    <w:rsid w:val="000C53AF"/>
    <w:rsid w:val="000C5FE3"/>
    <w:rsid w:val="000C7351"/>
    <w:rsid w:val="000D122A"/>
    <w:rsid w:val="000E55AD"/>
    <w:rsid w:val="000E630D"/>
    <w:rsid w:val="000E74DD"/>
    <w:rsid w:val="000E7F92"/>
    <w:rsid w:val="000F4462"/>
    <w:rsid w:val="001001BD"/>
    <w:rsid w:val="00102222"/>
    <w:rsid w:val="001040F3"/>
    <w:rsid w:val="00106DA0"/>
    <w:rsid w:val="00110054"/>
    <w:rsid w:val="00120541"/>
    <w:rsid w:val="001211F3"/>
    <w:rsid w:val="0012187C"/>
    <w:rsid w:val="00127B5D"/>
    <w:rsid w:val="001416D3"/>
    <w:rsid w:val="00150DC9"/>
    <w:rsid w:val="00152207"/>
    <w:rsid w:val="00153259"/>
    <w:rsid w:val="00154025"/>
    <w:rsid w:val="00155532"/>
    <w:rsid w:val="00157E23"/>
    <w:rsid w:val="00160FD7"/>
    <w:rsid w:val="00166866"/>
    <w:rsid w:val="00166A1B"/>
    <w:rsid w:val="001717F6"/>
    <w:rsid w:val="00171925"/>
    <w:rsid w:val="00173998"/>
    <w:rsid w:val="00174617"/>
    <w:rsid w:val="001759A7"/>
    <w:rsid w:val="001808F9"/>
    <w:rsid w:val="00180C04"/>
    <w:rsid w:val="001A4192"/>
    <w:rsid w:val="001A6828"/>
    <w:rsid w:val="001B3663"/>
    <w:rsid w:val="001C077C"/>
    <w:rsid w:val="001C2C3C"/>
    <w:rsid w:val="001C3BC4"/>
    <w:rsid w:val="001C5C86"/>
    <w:rsid w:val="001C718D"/>
    <w:rsid w:val="001D41B2"/>
    <w:rsid w:val="001E14C4"/>
    <w:rsid w:val="001F3FF4"/>
    <w:rsid w:val="001F7EB4"/>
    <w:rsid w:val="002000C2"/>
    <w:rsid w:val="002057C3"/>
    <w:rsid w:val="00205F25"/>
    <w:rsid w:val="0021457C"/>
    <w:rsid w:val="00214641"/>
    <w:rsid w:val="00221696"/>
    <w:rsid w:val="00221B1E"/>
    <w:rsid w:val="002230BE"/>
    <w:rsid w:val="00240DCD"/>
    <w:rsid w:val="0024190E"/>
    <w:rsid w:val="00242315"/>
    <w:rsid w:val="00245762"/>
    <w:rsid w:val="002475E6"/>
    <w:rsid w:val="0024786B"/>
    <w:rsid w:val="00247D8D"/>
    <w:rsid w:val="002502D4"/>
    <w:rsid w:val="00251D80"/>
    <w:rsid w:val="00253ACF"/>
    <w:rsid w:val="00254B2B"/>
    <w:rsid w:val="00254FB5"/>
    <w:rsid w:val="00255315"/>
    <w:rsid w:val="002638F7"/>
    <w:rsid w:val="002640E5"/>
    <w:rsid w:val="0026436F"/>
    <w:rsid w:val="0026606E"/>
    <w:rsid w:val="00275008"/>
    <w:rsid w:val="00276403"/>
    <w:rsid w:val="0027739A"/>
    <w:rsid w:val="002847A4"/>
    <w:rsid w:val="002863A2"/>
    <w:rsid w:val="00286718"/>
    <w:rsid w:val="00292896"/>
    <w:rsid w:val="00292EB5"/>
    <w:rsid w:val="00296414"/>
    <w:rsid w:val="002A03DF"/>
    <w:rsid w:val="002C070D"/>
    <w:rsid w:val="002C1C50"/>
    <w:rsid w:val="002D1D4D"/>
    <w:rsid w:val="002E2286"/>
    <w:rsid w:val="002E55A4"/>
    <w:rsid w:val="002E5FB8"/>
    <w:rsid w:val="002E6A7D"/>
    <w:rsid w:val="002E7A9E"/>
    <w:rsid w:val="002F3C41"/>
    <w:rsid w:val="002F6C5C"/>
    <w:rsid w:val="0030045C"/>
    <w:rsid w:val="003046AF"/>
    <w:rsid w:val="003205AD"/>
    <w:rsid w:val="0032779F"/>
    <w:rsid w:val="0033027D"/>
    <w:rsid w:val="00330A42"/>
    <w:rsid w:val="00335FB2"/>
    <w:rsid w:val="00336B2E"/>
    <w:rsid w:val="00337257"/>
    <w:rsid w:val="00344158"/>
    <w:rsid w:val="00347B74"/>
    <w:rsid w:val="003529CC"/>
    <w:rsid w:val="00355CB6"/>
    <w:rsid w:val="0036480E"/>
    <w:rsid w:val="00366257"/>
    <w:rsid w:val="00367D42"/>
    <w:rsid w:val="00371FE9"/>
    <w:rsid w:val="00377981"/>
    <w:rsid w:val="0038414F"/>
    <w:rsid w:val="0038516D"/>
    <w:rsid w:val="003869D7"/>
    <w:rsid w:val="00390973"/>
    <w:rsid w:val="003930A2"/>
    <w:rsid w:val="003952AA"/>
    <w:rsid w:val="003A036A"/>
    <w:rsid w:val="003A08AA"/>
    <w:rsid w:val="003A1EB0"/>
    <w:rsid w:val="003A25F9"/>
    <w:rsid w:val="003A4B21"/>
    <w:rsid w:val="003B3A93"/>
    <w:rsid w:val="003C0F14"/>
    <w:rsid w:val="003C2DA6"/>
    <w:rsid w:val="003C6DA6"/>
    <w:rsid w:val="003D0F39"/>
    <w:rsid w:val="003D11D2"/>
    <w:rsid w:val="003D2781"/>
    <w:rsid w:val="003D62A9"/>
    <w:rsid w:val="003E065A"/>
    <w:rsid w:val="003E359F"/>
    <w:rsid w:val="003F04C7"/>
    <w:rsid w:val="003F268E"/>
    <w:rsid w:val="003F3963"/>
    <w:rsid w:val="003F7142"/>
    <w:rsid w:val="003F7B3D"/>
    <w:rsid w:val="003F7C12"/>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0D6C"/>
    <w:rsid w:val="004816CC"/>
    <w:rsid w:val="0048267C"/>
    <w:rsid w:val="004876B9"/>
    <w:rsid w:val="00491E61"/>
    <w:rsid w:val="00492263"/>
    <w:rsid w:val="004929E4"/>
    <w:rsid w:val="00493A79"/>
    <w:rsid w:val="00495840"/>
    <w:rsid w:val="004A40BE"/>
    <w:rsid w:val="004A6A60"/>
    <w:rsid w:val="004A7DB5"/>
    <w:rsid w:val="004C0726"/>
    <w:rsid w:val="004C3006"/>
    <w:rsid w:val="004C634D"/>
    <w:rsid w:val="004C767F"/>
    <w:rsid w:val="004D24B9"/>
    <w:rsid w:val="004E0FEE"/>
    <w:rsid w:val="004E227D"/>
    <w:rsid w:val="004E2CE2"/>
    <w:rsid w:val="004E5172"/>
    <w:rsid w:val="004E6F8A"/>
    <w:rsid w:val="004F26DB"/>
    <w:rsid w:val="00501091"/>
    <w:rsid w:val="00502CD2"/>
    <w:rsid w:val="00504E33"/>
    <w:rsid w:val="00505F85"/>
    <w:rsid w:val="005064C3"/>
    <w:rsid w:val="00506934"/>
    <w:rsid w:val="00510258"/>
    <w:rsid w:val="00514F26"/>
    <w:rsid w:val="00522360"/>
    <w:rsid w:val="0052255A"/>
    <w:rsid w:val="00523613"/>
    <w:rsid w:val="005439C8"/>
    <w:rsid w:val="00544BC6"/>
    <w:rsid w:val="0055216E"/>
    <w:rsid w:val="005524F6"/>
    <w:rsid w:val="00552C2C"/>
    <w:rsid w:val="00553EAD"/>
    <w:rsid w:val="005555B7"/>
    <w:rsid w:val="00555B82"/>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B5A07"/>
    <w:rsid w:val="005B7188"/>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145B"/>
    <w:rsid w:val="006239E7"/>
    <w:rsid w:val="006250F2"/>
    <w:rsid w:val="006254C4"/>
    <w:rsid w:val="00627C99"/>
    <w:rsid w:val="006323BE"/>
    <w:rsid w:val="006341A4"/>
    <w:rsid w:val="00640875"/>
    <w:rsid w:val="006418C6"/>
    <w:rsid w:val="00641ED8"/>
    <w:rsid w:val="0065088B"/>
    <w:rsid w:val="00654893"/>
    <w:rsid w:val="00657620"/>
    <w:rsid w:val="006633A4"/>
    <w:rsid w:val="00667DD2"/>
    <w:rsid w:val="00671BBB"/>
    <w:rsid w:val="00671D59"/>
    <w:rsid w:val="00673564"/>
    <w:rsid w:val="006747F5"/>
    <w:rsid w:val="00682237"/>
    <w:rsid w:val="00686F46"/>
    <w:rsid w:val="0069043B"/>
    <w:rsid w:val="00696799"/>
    <w:rsid w:val="006A0E94"/>
    <w:rsid w:val="006A0EF8"/>
    <w:rsid w:val="006A1A95"/>
    <w:rsid w:val="006A45BA"/>
    <w:rsid w:val="006A7CF8"/>
    <w:rsid w:val="006B11EE"/>
    <w:rsid w:val="006B17DC"/>
    <w:rsid w:val="006B4280"/>
    <w:rsid w:val="006B4B1C"/>
    <w:rsid w:val="006C4991"/>
    <w:rsid w:val="006C66FC"/>
    <w:rsid w:val="006E0F19"/>
    <w:rsid w:val="006E1FDA"/>
    <w:rsid w:val="006E5E87"/>
    <w:rsid w:val="006E5EA2"/>
    <w:rsid w:val="006E78F2"/>
    <w:rsid w:val="006F2155"/>
    <w:rsid w:val="006F4101"/>
    <w:rsid w:val="006F6581"/>
    <w:rsid w:val="006F7468"/>
    <w:rsid w:val="0070606C"/>
    <w:rsid w:val="00706A1A"/>
    <w:rsid w:val="00707673"/>
    <w:rsid w:val="0071287D"/>
    <w:rsid w:val="00714B70"/>
    <w:rsid w:val="00715F8B"/>
    <w:rsid w:val="007162BE"/>
    <w:rsid w:val="00720B0E"/>
    <w:rsid w:val="00722267"/>
    <w:rsid w:val="00724152"/>
    <w:rsid w:val="00724A81"/>
    <w:rsid w:val="00736577"/>
    <w:rsid w:val="00742AC2"/>
    <w:rsid w:val="00744EA8"/>
    <w:rsid w:val="00746F46"/>
    <w:rsid w:val="0075252A"/>
    <w:rsid w:val="00753CB3"/>
    <w:rsid w:val="0076388B"/>
    <w:rsid w:val="00764B84"/>
    <w:rsid w:val="00765028"/>
    <w:rsid w:val="00775215"/>
    <w:rsid w:val="0078034D"/>
    <w:rsid w:val="0078108D"/>
    <w:rsid w:val="007827C3"/>
    <w:rsid w:val="007869CF"/>
    <w:rsid w:val="00790BCC"/>
    <w:rsid w:val="00795CEE"/>
    <w:rsid w:val="00796F94"/>
    <w:rsid w:val="007974F5"/>
    <w:rsid w:val="00797B34"/>
    <w:rsid w:val="007A5AA5"/>
    <w:rsid w:val="007A6136"/>
    <w:rsid w:val="007A6319"/>
    <w:rsid w:val="007A7809"/>
    <w:rsid w:val="007B0F49"/>
    <w:rsid w:val="007B1429"/>
    <w:rsid w:val="007C20C0"/>
    <w:rsid w:val="007C7E14"/>
    <w:rsid w:val="007D03D2"/>
    <w:rsid w:val="007D1064"/>
    <w:rsid w:val="007D1AB2"/>
    <w:rsid w:val="007D36CF"/>
    <w:rsid w:val="007D72DD"/>
    <w:rsid w:val="007F1D7B"/>
    <w:rsid w:val="007F211D"/>
    <w:rsid w:val="007F522E"/>
    <w:rsid w:val="007F52BD"/>
    <w:rsid w:val="007F5A68"/>
    <w:rsid w:val="007F7421"/>
    <w:rsid w:val="00801F7F"/>
    <w:rsid w:val="00807338"/>
    <w:rsid w:val="00813C1F"/>
    <w:rsid w:val="00813C61"/>
    <w:rsid w:val="00823C9A"/>
    <w:rsid w:val="008260B0"/>
    <w:rsid w:val="008345D0"/>
    <w:rsid w:val="00834A60"/>
    <w:rsid w:val="00835B24"/>
    <w:rsid w:val="00836F11"/>
    <w:rsid w:val="00841EB0"/>
    <w:rsid w:val="00852E68"/>
    <w:rsid w:val="00861A88"/>
    <w:rsid w:val="00863E89"/>
    <w:rsid w:val="00867DEF"/>
    <w:rsid w:val="00871C8D"/>
    <w:rsid w:val="00872B3B"/>
    <w:rsid w:val="0088222A"/>
    <w:rsid w:val="008835FC"/>
    <w:rsid w:val="00885E82"/>
    <w:rsid w:val="008901F6"/>
    <w:rsid w:val="00893306"/>
    <w:rsid w:val="00896C03"/>
    <w:rsid w:val="008A0176"/>
    <w:rsid w:val="008A05BF"/>
    <w:rsid w:val="008A12A5"/>
    <w:rsid w:val="008A495D"/>
    <w:rsid w:val="008A4BA1"/>
    <w:rsid w:val="008A76FD"/>
    <w:rsid w:val="008B114B"/>
    <w:rsid w:val="008B2D09"/>
    <w:rsid w:val="008B519F"/>
    <w:rsid w:val="008B71A2"/>
    <w:rsid w:val="008C0E78"/>
    <w:rsid w:val="008C3532"/>
    <w:rsid w:val="008C537F"/>
    <w:rsid w:val="008D658B"/>
    <w:rsid w:val="008E2ACD"/>
    <w:rsid w:val="008E2D07"/>
    <w:rsid w:val="008F235B"/>
    <w:rsid w:val="008F74AE"/>
    <w:rsid w:val="00912EC5"/>
    <w:rsid w:val="009161F0"/>
    <w:rsid w:val="00921521"/>
    <w:rsid w:val="00922FCB"/>
    <w:rsid w:val="009230BA"/>
    <w:rsid w:val="009300DE"/>
    <w:rsid w:val="00932FB3"/>
    <w:rsid w:val="00935CB0"/>
    <w:rsid w:val="009428A9"/>
    <w:rsid w:val="009428B1"/>
    <w:rsid w:val="009437A2"/>
    <w:rsid w:val="00944B28"/>
    <w:rsid w:val="00946CC0"/>
    <w:rsid w:val="00953E83"/>
    <w:rsid w:val="00967838"/>
    <w:rsid w:val="00977A1E"/>
    <w:rsid w:val="00982CD6"/>
    <w:rsid w:val="00985B73"/>
    <w:rsid w:val="009870A7"/>
    <w:rsid w:val="00992266"/>
    <w:rsid w:val="00994706"/>
    <w:rsid w:val="00994A54"/>
    <w:rsid w:val="00994ED2"/>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15A2"/>
    <w:rsid w:val="00A15763"/>
    <w:rsid w:val="00A226C6"/>
    <w:rsid w:val="00A22A82"/>
    <w:rsid w:val="00A27912"/>
    <w:rsid w:val="00A338A3"/>
    <w:rsid w:val="00A339CF"/>
    <w:rsid w:val="00A35110"/>
    <w:rsid w:val="00A36378"/>
    <w:rsid w:val="00A40015"/>
    <w:rsid w:val="00A458DB"/>
    <w:rsid w:val="00A47445"/>
    <w:rsid w:val="00A506A2"/>
    <w:rsid w:val="00A5652F"/>
    <w:rsid w:val="00A57538"/>
    <w:rsid w:val="00A6656B"/>
    <w:rsid w:val="00A70AA6"/>
    <w:rsid w:val="00A70E1E"/>
    <w:rsid w:val="00A73257"/>
    <w:rsid w:val="00A8521E"/>
    <w:rsid w:val="00A9081F"/>
    <w:rsid w:val="00A9188C"/>
    <w:rsid w:val="00A9212E"/>
    <w:rsid w:val="00A96148"/>
    <w:rsid w:val="00A97002"/>
    <w:rsid w:val="00A97A52"/>
    <w:rsid w:val="00AA0D6A"/>
    <w:rsid w:val="00AA1BB6"/>
    <w:rsid w:val="00AA5313"/>
    <w:rsid w:val="00AB58BF"/>
    <w:rsid w:val="00AC4AC0"/>
    <w:rsid w:val="00AC718A"/>
    <w:rsid w:val="00AD0751"/>
    <w:rsid w:val="00AD4075"/>
    <w:rsid w:val="00AD77C4"/>
    <w:rsid w:val="00AE0ED1"/>
    <w:rsid w:val="00AE25BF"/>
    <w:rsid w:val="00AF0C13"/>
    <w:rsid w:val="00AF0EBD"/>
    <w:rsid w:val="00AF498A"/>
    <w:rsid w:val="00AF513B"/>
    <w:rsid w:val="00B01ACB"/>
    <w:rsid w:val="00B03059"/>
    <w:rsid w:val="00B03AF5"/>
    <w:rsid w:val="00B03C01"/>
    <w:rsid w:val="00B06477"/>
    <w:rsid w:val="00B078D6"/>
    <w:rsid w:val="00B11407"/>
    <w:rsid w:val="00B1248D"/>
    <w:rsid w:val="00B14709"/>
    <w:rsid w:val="00B162C7"/>
    <w:rsid w:val="00B2743D"/>
    <w:rsid w:val="00B277CF"/>
    <w:rsid w:val="00B3015C"/>
    <w:rsid w:val="00B32202"/>
    <w:rsid w:val="00B344D8"/>
    <w:rsid w:val="00B46DCB"/>
    <w:rsid w:val="00B567D1"/>
    <w:rsid w:val="00B5718E"/>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05E5"/>
    <w:rsid w:val="00BE21C4"/>
    <w:rsid w:val="00BE24DD"/>
    <w:rsid w:val="00BE4125"/>
    <w:rsid w:val="00BF7C9D"/>
    <w:rsid w:val="00C01548"/>
    <w:rsid w:val="00C01E8C"/>
    <w:rsid w:val="00C02DF6"/>
    <w:rsid w:val="00C035EB"/>
    <w:rsid w:val="00C03E01"/>
    <w:rsid w:val="00C1146C"/>
    <w:rsid w:val="00C11BD9"/>
    <w:rsid w:val="00C23582"/>
    <w:rsid w:val="00C26644"/>
    <w:rsid w:val="00C2724D"/>
    <w:rsid w:val="00C27CA9"/>
    <w:rsid w:val="00C317E7"/>
    <w:rsid w:val="00C351A6"/>
    <w:rsid w:val="00C3799C"/>
    <w:rsid w:val="00C4305E"/>
    <w:rsid w:val="00C43254"/>
    <w:rsid w:val="00C43D1E"/>
    <w:rsid w:val="00C44336"/>
    <w:rsid w:val="00C474BA"/>
    <w:rsid w:val="00C50F7C"/>
    <w:rsid w:val="00C51704"/>
    <w:rsid w:val="00C5591F"/>
    <w:rsid w:val="00C57C50"/>
    <w:rsid w:val="00C662F6"/>
    <w:rsid w:val="00C715CA"/>
    <w:rsid w:val="00C7495D"/>
    <w:rsid w:val="00C77CE9"/>
    <w:rsid w:val="00C87955"/>
    <w:rsid w:val="00C97A0D"/>
    <w:rsid w:val="00CA0968"/>
    <w:rsid w:val="00CA168E"/>
    <w:rsid w:val="00CA7636"/>
    <w:rsid w:val="00CA7C20"/>
    <w:rsid w:val="00CB0647"/>
    <w:rsid w:val="00CB2A21"/>
    <w:rsid w:val="00CB4236"/>
    <w:rsid w:val="00CC0977"/>
    <w:rsid w:val="00CC3036"/>
    <w:rsid w:val="00CC72A4"/>
    <w:rsid w:val="00CD3153"/>
    <w:rsid w:val="00CE28BA"/>
    <w:rsid w:val="00CE2968"/>
    <w:rsid w:val="00CE3D4B"/>
    <w:rsid w:val="00CE5CE0"/>
    <w:rsid w:val="00CF5951"/>
    <w:rsid w:val="00CF6810"/>
    <w:rsid w:val="00D038DD"/>
    <w:rsid w:val="00D06117"/>
    <w:rsid w:val="00D1420B"/>
    <w:rsid w:val="00D220FB"/>
    <w:rsid w:val="00D23F30"/>
    <w:rsid w:val="00D24760"/>
    <w:rsid w:val="00D25EA1"/>
    <w:rsid w:val="00D2724C"/>
    <w:rsid w:val="00D31CC8"/>
    <w:rsid w:val="00D32678"/>
    <w:rsid w:val="00D41E60"/>
    <w:rsid w:val="00D521C1"/>
    <w:rsid w:val="00D536A1"/>
    <w:rsid w:val="00D548AF"/>
    <w:rsid w:val="00D565E1"/>
    <w:rsid w:val="00D71F40"/>
    <w:rsid w:val="00D77416"/>
    <w:rsid w:val="00D80FC6"/>
    <w:rsid w:val="00D81EA1"/>
    <w:rsid w:val="00D862FB"/>
    <w:rsid w:val="00D86385"/>
    <w:rsid w:val="00D8707A"/>
    <w:rsid w:val="00D92AF1"/>
    <w:rsid w:val="00D94917"/>
    <w:rsid w:val="00DA74F3"/>
    <w:rsid w:val="00DB42D2"/>
    <w:rsid w:val="00DB69F3"/>
    <w:rsid w:val="00DC4907"/>
    <w:rsid w:val="00DD017C"/>
    <w:rsid w:val="00DD397A"/>
    <w:rsid w:val="00DD58B7"/>
    <w:rsid w:val="00DD6699"/>
    <w:rsid w:val="00DD77F8"/>
    <w:rsid w:val="00DF17DB"/>
    <w:rsid w:val="00DF21F7"/>
    <w:rsid w:val="00DF253E"/>
    <w:rsid w:val="00DF5293"/>
    <w:rsid w:val="00DF554B"/>
    <w:rsid w:val="00DF6638"/>
    <w:rsid w:val="00E007C5"/>
    <w:rsid w:val="00E00DBF"/>
    <w:rsid w:val="00E01A3D"/>
    <w:rsid w:val="00E0213F"/>
    <w:rsid w:val="00E02484"/>
    <w:rsid w:val="00E02E92"/>
    <w:rsid w:val="00E033E0"/>
    <w:rsid w:val="00E07FF4"/>
    <w:rsid w:val="00E10269"/>
    <w:rsid w:val="00E1026B"/>
    <w:rsid w:val="00E13687"/>
    <w:rsid w:val="00E13CB2"/>
    <w:rsid w:val="00E20C37"/>
    <w:rsid w:val="00E24537"/>
    <w:rsid w:val="00E40DDC"/>
    <w:rsid w:val="00E52C57"/>
    <w:rsid w:val="00E57E7D"/>
    <w:rsid w:val="00E70355"/>
    <w:rsid w:val="00E7517E"/>
    <w:rsid w:val="00E76BB4"/>
    <w:rsid w:val="00E77BE9"/>
    <w:rsid w:val="00E80E25"/>
    <w:rsid w:val="00E8283E"/>
    <w:rsid w:val="00E84CD8"/>
    <w:rsid w:val="00E90B85"/>
    <w:rsid w:val="00E91679"/>
    <w:rsid w:val="00E92452"/>
    <w:rsid w:val="00E94CC1"/>
    <w:rsid w:val="00E96431"/>
    <w:rsid w:val="00EA31E6"/>
    <w:rsid w:val="00EC3039"/>
    <w:rsid w:val="00EC5235"/>
    <w:rsid w:val="00EC7C19"/>
    <w:rsid w:val="00ED6351"/>
    <w:rsid w:val="00ED665A"/>
    <w:rsid w:val="00ED6B03"/>
    <w:rsid w:val="00ED7A5B"/>
    <w:rsid w:val="00EE3380"/>
    <w:rsid w:val="00EF076A"/>
    <w:rsid w:val="00EF133B"/>
    <w:rsid w:val="00EF1F53"/>
    <w:rsid w:val="00EF6C75"/>
    <w:rsid w:val="00F00685"/>
    <w:rsid w:val="00F05CC9"/>
    <w:rsid w:val="00F07C92"/>
    <w:rsid w:val="00F12207"/>
    <w:rsid w:val="00F138AB"/>
    <w:rsid w:val="00F14B43"/>
    <w:rsid w:val="00F203C7"/>
    <w:rsid w:val="00F215E2"/>
    <w:rsid w:val="00F21E3F"/>
    <w:rsid w:val="00F279CB"/>
    <w:rsid w:val="00F316F7"/>
    <w:rsid w:val="00F31D1B"/>
    <w:rsid w:val="00F41A27"/>
    <w:rsid w:val="00F4338D"/>
    <w:rsid w:val="00F440D3"/>
    <w:rsid w:val="00F446AC"/>
    <w:rsid w:val="00F46EAF"/>
    <w:rsid w:val="00F541CA"/>
    <w:rsid w:val="00F5774F"/>
    <w:rsid w:val="00F61333"/>
    <w:rsid w:val="00F619A8"/>
    <w:rsid w:val="00F62688"/>
    <w:rsid w:val="00F644F3"/>
    <w:rsid w:val="00F72922"/>
    <w:rsid w:val="00F76BE5"/>
    <w:rsid w:val="00F83D11"/>
    <w:rsid w:val="00F86005"/>
    <w:rsid w:val="00F910E2"/>
    <w:rsid w:val="00F91298"/>
    <w:rsid w:val="00F921F1"/>
    <w:rsid w:val="00FB127E"/>
    <w:rsid w:val="00FB4B0E"/>
    <w:rsid w:val="00FC0804"/>
    <w:rsid w:val="00FC2E89"/>
    <w:rsid w:val="00FC3B6D"/>
    <w:rsid w:val="00FD3A4E"/>
    <w:rsid w:val="00FF022C"/>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63"/>
    <w:rPr>
      <w:rFonts w:eastAsia="Times New Roman"/>
      <w:sz w:val="24"/>
      <w:szCs w:val="24"/>
      <w:lang w:eastAsia="ko-KR"/>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pPr>
    <w:rPr>
      <w:rFonts w:ascii="Arial" w:hAnsi="Arial"/>
      <w:sz w:val="18"/>
    </w:rPr>
  </w:style>
  <w:style w:type="paragraph" w:styleId="BodyText">
    <w:name w:val="Body Text"/>
    <w:basedOn w:val="Normal"/>
    <w:rsid w:val="003D11D2"/>
    <w:pPr>
      <w:widowControl w:val="0"/>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link w:val="TAHCar"/>
    <w:uiPriority w:val="99"/>
    <w:qFormat/>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ind w:left="454" w:hanging="454"/>
    </w:pPr>
    <w:rPr>
      <w:sz w:val="16"/>
    </w:rPr>
  </w:style>
  <w:style w:type="paragraph" w:customStyle="1" w:styleId="TAC">
    <w:name w:val="TAC"/>
    <w:basedOn w:val="TAL"/>
    <w:link w:val="TACChar"/>
    <w:uiPriority w:val="99"/>
    <w:qFormat/>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style>
  <w:style w:type="paragraph" w:customStyle="1" w:styleId="EW">
    <w:name w:val="EW"/>
    <w:basedOn w:val="EX"/>
    <w:rsid w:val="006E78F2"/>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link w:val="EQChar"/>
    <w:qFormat/>
    <w:rsid w:val="006E78F2"/>
    <w:pPr>
      <w:keepLines/>
      <w:tabs>
        <w:tab w:val="center" w:pos="4536"/>
        <w:tab w:val="right" w:pos="9072"/>
      </w:tabs>
    </w:pPr>
    <w:rPr>
      <w:noProof/>
    </w:rPr>
  </w:style>
  <w:style w:type="paragraph" w:customStyle="1" w:styleId="TH">
    <w:name w:val="TH"/>
    <w:basedOn w:val="Normal"/>
    <w:link w:val="THChar"/>
    <w:qFormat/>
    <w:rsid w:val="006E78F2"/>
    <w:pPr>
      <w:keepNext/>
      <w:keepLines/>
      <w:spacing w:before="60"/>
      <w:jc w:val="center"/>
    </w:pPr>
    <w:rPr>
      <w:rFonts w:ascii="Arial" w:hAnsi="Arial"/>
      <w:b/>
    </w:rPr>
  </w:style>
  <w:style w:type="paragraph" w:customStyle="1" w:styleId="NF">
    <w:name w:val="NF"/>
    <w:basedOn w:val="NO"/>
    <w:rsid w:val="006E78F2"/>
    <w:pPr>
      <w:keepNext/>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link w:val="TANChar"/>
    <w:qFormat/>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1">
    <w:name w:val="tal"/>
    <w:basedOn w:val="Normal"/>
    <w:rsid w:val="00A97A52"/>
    <w:pPr>
      <w:spacing w:before="100" w:beforeAutospacing="1" w:after="100" w:afterAutospacing="1"/>
    </w:pPr>
    <w:rPr>
      <w:rFonts w:eastAsia="Calibri"/>
    </w:rPr>
  </w:style>
  <w:style w:type="paragraph" w:styleId="NormalWeb">
    <w:name w:val="Normal (Web)"/>
    <w:basedOn w:val="Normal"/>
    <w:uiPriority w:val="99"/>
    <w:unhideWhenUsed/>
    <w:rsid w:val="00671D59"/>
    <w:pPr>
      <w:spacing w:before="100" w:beforeAutospacing="1" w:after="100" w:afterAutospacing="1"/>
    </w:pPr>
    <w:rPr>
      <w:rFonts w:ascii="SimSun" w:hAnsi="SimSun" w:cs="SimSu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EQChar">
    <w:name w:val="EQ Char"/>
    <w:link w:val="EQ"/>
    <w:qFormat/>
    <w:rsid w:val="00841EB0"/>
    <w:rPr>
      <w:rFonts w:eastAsia="Times New Roman"/>
      <w:noProof/>
      <w:lang w:val="en-GB" w:eastAsia="zh-CN"/>
    </w:rPr>
  </w:style>
  <w:style w:type="paragraph" w:styleId="Revision">
    <w:name w:val="Revision"/>
    <w:hidden/>
    <w:uiPriority w:val="99"/>
    <w:semiHidden/>
    <w:rsid w:val="00841EB0"/>
    <w:rPr>
      <w:rFonts w:eastAsia="Times New Roman"/>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07FF4"/>
    <w:pPr>
      <w:ind w:left="720"/>
      <w:contextualSpacing/>
    </w:pPr>
  </w:style>
  <w:style w:type="character" w:customStyle="1" w:styleId="apple-converted-space">
    <w:name w:val="apple-converted-space"/>
    <w:basedOn w:val="DefaultParagraphFont"/>
    <w:rsid w:val="00E07FF4"/>
  </w:style>
  <w:style w:type="character" w:styleId="Emphasis">
    <w:name w:val="Emphasis"/>
    <w:uiPriority w:val="20"/>
    <w:qFormat/>
    <w:rsid w:val="00480D6C"/>
    <w:rPr>
      <w:i/>
      <w:iCs/>
    </w:rPr>
  </w:style>
  <w:style w:type="character" w:styleId="Strong">
    <w:name w:val="Strong"/>
    <w:uiPriority w:val="22"/>
    <w:qFormat/>
    <w:rsid w:val="00861A88"/>
    <w:rPr>
      <w:b/>
      <w:b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61A88"/>
    <w:rPr>
      <w:rFonts w:eastAsia="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2AA"/>
    <w:rPr>
      <w:rFonts w:ascii="Arial" w:eastAsia="Times New Roman" w:hAnsi="Arial"/>
      <w:b/>
      <w:noProof/>
      <w:sz w:val="18"/>
      <w:lang w:eastAsia="zh-CN"/>
    </w:rPr>
  </w:style>
  <w:style w:type="character" w:customStyle="1" w:styleId="TACChar">
    <w:name w:val="TAC Char"/>
    <w:link w:val="TAC"/>
    <w:uiPriority w:val="99"/>
    <w:qFormat/>
    <w:rsid w:val="00037B42"/>
    <w:rPr>
      <w:rFonts w:ascii="Arial" w:eastAsia="Times New Roman" w:hAnsi="Arial"/>
      <w:sz w:val="18"/>
      <w:szCs w:val="24"/>
      <w:lang w:eastAsia="ko-KR"/>
    </w:rPr>
  </w:style>
  <w:style w:type="character" w:customStyle="1" w:styleId="THChar">
    <w:name w:val="TH Char"/>
    <w:link w:val="TH"/>
    <w:qFormat/>
    <w:rsid w:val="00037B42"/>
    <w:rPr>
      <w:rFonts w:ascii="Arial" w:eastAsia="Times New Roman" w:hAnsi="Arial"/>
      <w:b/>
      <w:sz w:val="24"/>
      <w:szCs w:val="24"/>
      <w:lang w:eastAsia="ko-KR"/>
    </w:rPr>
  </w:style>
  <w:style w:type="character" w:customStyle="1" w:styleId="TANChar">
    <w:name w:val="TAN Char"/>
    <w:link w:val="TAN"/>
    <w:qFormat/>
    <w:rsid w:val="00037B42"/>
    <w:rPr>
      <w:rFonts w:ascii="Arial" w:eastAsia="Times New Roman" w:hAnsi="Arial"/>
      <w:sz w:val="18"/>
      <w:szCs w:val="24"/>
      <w:lang w:eastAsia="ko-KR"/>
    </w:rPr>
  </w:style>
  <w:style w:type="character" w:customStyle="1" w:styleId="TAHCar">
    <w:name w:val="TAH Car"/>
    <w:link w:val="TAH"/>
    <w:uiPriority w:val="99"/>
    <w:qFormat/>
    <w:rsid w:val="001D41B2"/>
    <w:rPr>
      <w:rFonts w:ascii="Arial" w:eastAsia="Times New Roman" w:hAnsi="Arial"/>
      <w:b/>
      <w:sz w:val="18"/>
      <w:szCs w:val="24"/>
      <w:lang w:eastAsia="ko-KR"/>
    </w:rPr>
  </w:style>
  <w:style w:type="paragraph" w:customStyle="1" w:styleId="3GPPHeader">
    <w:name w:val="3GPP_Header"/>
    <w:basedOn w:val="BodyText"/>
    <w:rsid w:val="00FF022C"/>
    <w:pPr>
      <w:widowControl/>
      <w:tabs>
        <w:tab w:val="left" w:pos="1701"/>
        <w:tab w:val="right" w:pos="9639"/>
      </w:tabs>
      <w:overflowPunct w:val="0"/>
      <w:autoSpaceDE w:val="0"/>
      <w:autoSpaceDN w:val="0"/>
      <w:adjustRightInd w:val="0"/>
      <w:spacing w:after="240"/>
      <w:jc w:val="both"/>
      <w:textAlignment w:val="baseline"/>
    </w:pPr>
    <w:rPr>
      <w:rFonts w:ascii="Arial" w:hAnsi="Arial"/>
      <w:b/>
      <w:i w:val="0"/>
      <w:szCs w:val="20"/>
      <w:lang w:val="en-GB" w:eastAsia="zh-CN"/>
    </w:rPr>
  </w:style>
  <w:style w:type="paragraph" w:styleId="Caption">
    <w:name w:val="caption"/>
    <w:basedOn w:val="Normal"/>
    <w:next w:val="Normal"/>
    <w:unhideWhenUsed/>
    <w:qFormat/>
    <w:rsid w:val="003E065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0627">
      <w:bodyDiv w:val="1"/>
      <w:marLeft w:val="0"/>
      <w:marRight w:val="0"/>
      <w:marTop w:val="0"/>
      <w:marBottom w:val="0"/>
      <w:divBdr>
        <w:top w:val="none" w:sz="0" w:space="0" w:color="auto"/>
        <w:left w:val="none" w:sz="0" w:space="0" w:color="auto"/>
        <w:bottom w:val="none" w:sz="0" w:space="0" w:color="auto"/>
        <w:right w:val="none" w:sz="0" w:space="0" w:color="auto"/>
      </w:divBdr>
    </w:div>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82267737">
      <w:bodyDiv w:val="1"/>
      <w:marLeft w:val="0"/>
      <w:marRight w:val="0"/>
      <w:marTop w:val="0"/>
      <w:marBottom w:val="0"/>
      <w:divBdr>
        <w:top w:val="none" w:sz="0" w:space="0" w:color="auto"/>
        <w:left w:val="none" w:sz="0" w:space="0" w:color="auto"/>
        <w:bottom w:val="none" w:sz="0" w:space="0" w:color="auto"/>
        <w:right w:val="none" w:sz="0" w:space="0" w:color="auto"/>
      </w:divBdr>
    </w:div>
    <w:div w:id="394084211">
      <w:bodyDiv w:val="1"/>
      <w:marLeft w:val="0"/>
      <w:marRight w:val="0"/>
      <w:marTop w:val="0"/>
      <w:marBottom w:val="0"/>
      <w:divBdr>
        <w:top w:val="none" w:sz="0" w:space="0" w:color="auto"/>
        <w:left w:val="none" w:sz="0" w:space="0" w:color="auto"/>
        <w:bottom w:val="none" w:sz="0" w:space="0" w:color="auto"/>
        <w:right w:val="none" w:sz="0" w:space="0" w:color="auto"/>
      </w:divBdr>
      <w:divsChild>
        <w:div w:id="231626351">
          <w:marLeft w:val="0"/>
          <w:marRight w:val="0"/>
          <w:marTop w:val="0"/>
          <w:marBottom w:val="0"/>
          <w:divBdr>
            <w:top w:val="none" w:sz="0" w:space="0" w:color="auto"/>
            <w:left w:val="none" w:sz="0" w:space="0" w:color="auto"/>
            <w:bottom w:val="none" w:sz="0" w:space="0" w:color="auto"/>
            <w:right w:val="none" w:sz="0" w:space="0" w:color="auto"/>
          </w:divBdr>
        </w:div>
        <w:div w:id="101615475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253635415">
              <w:marLeft w:val="0"/>
              <w:marRight w:val="0"/>
              <w:marTop w:val="0"/>
              <w:marBottom w:val="0"/>
              <w:divBdr>
                <w:top w:val="none" w:sz="0" w:space="0" w:color="auto"/>
                <w:left w:val="none" w:sz="0" w:space="0" w:color="auto"/>
                <w:bottom w:val="none" w:sz="0" w:space="0" w:color="auto"/>
                <w:right w:val="none" w:sz="0" w:space="0" w:color="auto"/>
              </w:divBdr>
            </w:div>
          </w:divsChild>
        </w:div>
        <w:div w:id="487941166">
          <w:marLeft w:val="0"/>
          <w:marRight w:val="0"/>
          <w:marTop w:val="0"/>
          <w:marBottom w:val="0"/>
          <w:divBdr>
            <w:top w:val="none" w:sz="0" w:space="0" w:color="auto"/>
            <w:left w:val="none" w:sz="0" w:space="0" w:color="auto"/>
            <w:bottom w:val="none" w:sz="0" w:space="0" w:color="auto"/>
            <w:right w:val="none" w:sz="0" w:space="0" w:color="auto"/>
          </w:divBdr>
        </w:div>
        <w:div w:id="186859348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25775073">
              <w:marLeft w:val="0"/>
              <w:marRight w:val="0"/>
              <w:marTop w:val="0"/>
              <w:marBottom w:val="0"/>
              <w:divBdr>
                <w:top w:val="none" w:sz="0" w:space="0" w:color="auto"/>
                <w:left w:val="none" w:sz="0" w:space="0" w:color="auto"/>
                <w:bottom w:val="none" w:sz="0" w:space="0" w:color="auto"/>
                <w:right w:val="none" w:sz="0" w:space="0" w:color="auto"/>
              </w:divBdr>
            </w:div>
          </w:divsChild>
        </w:div>
        <w:div w:id="1953508885">
          <w:marLeft w:val="0"/>
          <w:marRight w:val="0"/>
          <w:marTop w:val="0"/>
          <w:marBottom w:val="0"/>
          <w:divBdr>
            <w:top w:val="none" w:sz="0" w:space="0" w:color="auto"/>
            <w:left w:val="none" w:sz="0" w:space="0" w:color="auto"/>
            <w:bottom w:val="none" w:sz="0" w:space="0" w:color="auto"/>
            <w:right w:val="none" w:sz="0" w:space="0" w:color="auto"/>
          </w:divBdr>
          <w:divsChild>
            <w:div w:id="2067607663">
              <w:marLeft w:val="0"/>
              <w:marRight w:val="0"/>
              <w:marTop w:val="0"/>
              <w:marBottom w:val="0"/>
              <w:divBdr>
                <w:top w:val="none" w:sz="0" w:space="0" w:color="auto"/>
                <w:left w:val="none" w:sz="0" w:space="0" w:color="auto"/>
                <w:bottom w:val="none" w:sz="0" w:space="0" w:color="auto"/>
                <w:right w:val="none" w:sz="0" w:space="0" w:color="auto"/>
              </w:divBdr>
            </w:div>
            <w:div w:id="946741642">
              <w:marLeft w:val="0"/>
              <w:marRight w:val="0"/>
              <w:marTop w:val="0"/>
              <w:marBottom w:val="0"/>
              <w:divBdr>
                <w:top w:val="none" w:sz="0" w:space="0" w:color="auto"/>
                <w:left w:val="none" w:sz="0" w:space="0" w:color="auto"/>
                <w:bottom w:val="none" w:sz="0" w:space="0" w:color="auto"/>
                <w:right w:val="none" w:sz="0" w:space="0" w:color="auto"/>
              </w:divBdr>
            </w:div>
            <w:div w:id="709501857">
              <w:marLeft w:val="0"/>
              <w:marRight w:val="0"/>
              <w:marTop w:val="0"/>
              <w:marBottom w:val="0"/>
              <w:divBdr>
                <w:top w:val="none" w:sz="0" w:space="0" w:color="auto"/>
                <w:left w:val="none" w:sz="0" w:space="0" w:color="auto"/>
                <w:bottom w:val="none" w:sz="0" w:space="0" w:color="auto"/>
                <w:right w:val="none" w:sz="0" w:space="0" w:color="auto"/>
              </w:divBdr>
            </w:div>
          </w:divsChild>
        </w:div>
        <w:div w:id="4946119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192568855">
              <w:marLeft w:val="0"/>
              <w:marRight w:val="0"/>
              <w:marTop w:val="0"/>
              <w:marBottom w:val="0"/>
              <w:divBdr>
                <w:top w:val="none" w:sz="0" w:space="0" w:color="auto"/>
                <w:left w:val="none" w:sz="0" w:space="0" w:color="auto"/>
                <w:bottom w:val="none" w:sz="0" w:space="0" w:color="auto"/>
                <w:right w:val="none" w:sz="0" w:space="0" w:color="auto"/>
              </w:divBdr>
              <w:divsChild>
                <w:div w:id="202578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5618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55039299">
              <w:marLeft w:val="0"/>
              <w:marRight w:val="0"/>
              <w:marTop w:val="0"/>
              <w:marBottom w:val="0"/>
              <w:divBdr>
                <w:top w:val="none" w:sz="0" w:space="0" w:color="auto"/>
                <w:left w:val="none" w:sz="0" w:space="0" w:color="auto"/>
                <w:bottom w:val="none" w:sz="0" w:space="0" w:color="auto"/>
                <w:right w:val="none" w:sz="0" w:space="0" w:color="auto"/>
              </w:divBdr>
              <w:divsChild>
                <w:div w:id="396981377">
                  <w:marLeft w:val="0"/>
                  <w:marRight w:val="0"/>
                  <w:marTop w:val="0"/>
                  <w:marBottom w:val="0"/>
                  <w:divBdr>
                    <w:top w:val="none" w:sz="0" w:space="0" w:color="auto"/>
                    <w:left w:val="none" w:sz="0" w:space="0" w:color="auto"/>
                    <w:bottom w:val="none" w:sz="0" w:space="0" w:color="auto"/>
                    <w:right w:val="none" w:sz="0" w:space="0" w:color="auto"/>
                  </w:divBdr>
                </w:div>
              </w:divsChild>
            </w:div>
            <w:div w:id="2075160849">
              <w:marLeft w:val="0"/>
              <w:marRight w:val="0"/>
              <w:marTop w:val="0"/>
              <w:marBottom w:val="0"/>
              <w:divBdr>
                <w:top w:val="none" w:sz="0" w:space="0" w:color="auto"/>
                <w:left w:val="none" w:sz="0" w:space="0" w:color="auto"/>
                <w:bottom w:val="none" w:sz="0" w:space="0" w:color="auto"/>
                <w:right w:val="none" w:sz="0" w:space="0" w:color="auto"/>
              </w:divBdr>
              <w:divsChild>
                <w:div w:id="1656565773">
                  <w:marLeft w:val="0"/>
                  <w:marRight w:val="0"/>
                  <w:marTop w:val="0"/>
                  <w:marBottom w:val="0"/>
                  <w:divBdr>
                    <w:top w:val="none" w:sz="0" w:space="0" w:color="auto"/>
                    <w:left w:val="none" w:sz="0" w:space="0" w:color="auto"/>
                    <w:bottom w:val="none" w:sz="0" w:space="0" w:color="auto"/>
                    <w:right w:val="none" w:sz="0" w:space="0" w:color="auto"/>
                  </w:divBdr>
                </w:div>
              </w:divsChild>
            </w:div>
            <w:div w:id="1018702495">
              <w:marLeft w:val="0"/>
              <w:marRight w:val="0"/>
              <w:marTop w:val="0"/>
              <w:marBottom w:val="0"/>
              <w:divBdr>
                <w:top w:val="none" w:sz="0" w:space="0" w:color="auto"/>
                <w:left w:val="none" w:sz="0" w:space="0" w:color="auto"/>
                <w:bottom w:val="none" w:sz="0" w:space="0" w:color="auto"/>
                <w:right w:val="none" w:sz="0" w:space="0" w:color="auto"/>
              </w:divBdr>
            </w:div>
          </w:divsChild>
        </w:div>
        <w:div w:id="963923577">
          <w:marLeft w:val="0"/>
          <w:marRight w:val="0"/>
          <w:marTop w:val="0"/>
          <w:marBottom w:val="0"/>
          <w:divBdr>
            <w:top w:val="none" w:sz="0" w:space="0" w:color="auto"/>
            <w:left w:val="none" w:sz="0" w:space="0" w:color="auto"/>
            <w:bottom w:val="none" w:sz="0" w:space="0" w:color="auto"/>
            <w:right w:val="none" w:sz="0" w:space="0" w:color="auto"/>
          </w:divBdr>
        </w:div>
        <w:div w:id="107998789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90377929">
              <w:marLeft w:val="0"/>
              <w:marRight w:val="0"/>
              <w:marTop w:val="0"/>
              <w:marBottom w:val="0"/>
              <w:divBdr>
                <w:top w:val="none" w:sz="0" w:space="0" w:color="auto"/>
                <w:left w:val="none" w:sz="0" w:space="0" w:color="auto"/>
                <w:bottom w:val="none" w:sz="0" w:space="0" w:color="auto"/>
                <w:right w:val="none" w:sz="0" w:space="0" w:color="auto"/>
              </w:divBdr>
            </w:div>
            <w:div w:id="1186090413">
              <w:marLeft w:val="0"/>
              <w:marRight w:val="0"/>
              <w:marTop w:val="0"/>
              <w:marBottom w:val="0"/>
              <w:divBdr>
                <w:top w:val="none" w:sz="0" w:space="0" w:color="auto"/>
                <w:left w:val="none" w:sz="0" w:space="0" w:color="auto"/>
                <w:bottom w:val="none" w:sz="0" w:space="0" w:color="auto"/>
                <w:right w:val="none" w:sz="0" w:space="0" w:color="auto"/>
              </w:divBdr>
            </w:div>
            <w:div w:id="280306585">
              <w:marLeft w:val="0"/>
              <w:marRight w:val="0"/>
              <w:marTop w:val="0"/>
              <w:marBottom w:val="0"/>
              <w:divBdr>
                <w:top w:val="none" w:sz="0" w:space="0" w:color="auto"/>
                <w:left w:val="none" w:sz="0" w:space="0" w:color="auto"/>
                <w:bottom w:val="none" w:sz="0" w:space="0" w:color="auto"/>
                <w:right w:val="none" w:sz="0" w:space="0" w:color="auto"/>
              </w:divBdr>
            </w:div>
          </w:divsChild>
        </w:div>
        <w:div w:id="687874778">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5486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0475">
          <w:marLeft w:val="0"/>
          <w:marRight w:val="0"/>
          <w:marTop w:val="0"/>
          <w:marBottom w:val="0"/>
          <w:divBdr>
            <w:top w:val="none" w:sz="0" w:space="0" w:color="auto"/>
            <w:left w:val="none" w:sz="0" w:space="0" w:color="auto"/>
            <w:bottom w:val="none" w:sz="0" w:space="0" w:color="auto"/>
            <w:right w:val="none" w:sz="0" w:space="0" w:color="auto"/>
          </w:divBdr>
        </w:div>
        <w:div w:id="87060510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1840515">
              <w:marLeft w:val="0"/>
              <w:marRight w:val="0"/>
              <w:marTop w:val="0"/>
              <w:marBottom w:val="0"/>
              <w:divBdr>
                <w:top w:val="none" w:sz="0" w:space="0" w:color="auto"/>
                <w:left w:val="none" w:sz="0" w:space="0" w:color="auto"/>
                <w:bottom w:val="none" w:sz="0" w:space="0" w:color="auto"/>
                <w:right w:val="none" w:sz="0" w:space="0" w:color="auto"/>
              </w:divBdr>
            </w:div>
          </w:divsChild>
        </w:div>
        <w:div w:id="2126270715">
          <w:marLeft w:val="0"/>
          <w:marRight w:val="0"/>
          <w:marTop w:val="0"/>
          <w:marBottom w:val="0"/>
          <w:divBdr>
            <w:top w:val="none" w:sz="0" w:space="0" w:color="auto"/>
            <w:left w:val="none" w:sz="0" w:space="0" w:color="auto"/>
            <w:bottom w:val="none" w:sz="0" w:space="0" w:color="auto"/>
            <w:right w:val="none" w:sz="0" w:space="0" w:color="auto"/>
          </w:divBdr>
        </w:div>
        <w:div w:id="3122621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96437315">
              <w:marLeft w:val="0"/>
              <w:marRight w:val="0"/>
              <w:marTop w:val="0"/>
              <w:marBottom w:val="0"/>
              <w:divBdr>
                <w:top w:val="none" w:sz="0" w:space="0" w:color="auto"/>
                <w:left w:val="none" w:sz="0" w:space="0" w:color="auto"/>
                <w:bottom w:val="none" w:sz="0" w:space="0" w:color="auto"/>
                <w:right w:val="none" w:sz="0" w:space="0" w:color="auto"/>
              </w:divBdr>
            </w:div>
          </w:divsChild>
        </w:div>
        <w:div w:id="2036038902">
          <w:marLeft w:val="0"/>
          <w:marRight w:val="0"/>
          <w:marTop w:val="0"/>
          <w:marBottom w:val="0"/>
          <w:divBdr>
            <w:top w:val="none" w:sz="0" w:space="0" w:color="auto"/>
            <w:left w:val="none" w:sz="0" w:space="0" w:color="auto"/>
            <w:bottom w:val="none" w:sz="0" w:space="0" w:color="auto"/>
            <w:right w:val="none" w:sz="0" w:space="0" w:color="auto"/>
          </w:divBdr>
          <w:divsChild>
            <w:div w:id="1834448783">
              <w:marLeft w:val="0"/>
              <w:marRight w:val="0"/>
              <w:marTop w:val="0"/>
              <w:marBottom w:val="0"/>
              <w:divBdr>
                <w:top w:val="none" w:sz="0" w:space="0" w:color="auto"/>
                <w:left w:val="none" w:sz="0" w:space="0" w:color="auto"/>
                <w:bottom w:val="none" w:sz="0" w:space="0" w:color="auto"/>
                <w:right w:val="none" w:sz="0" w:space="0" w:color="auto"/>
              </w:divBdr>
            </w:div>
            <w:div w:id="1691949205">
              <w:marLeft w:val="0"/>
              <w:marRight w:val="0"/>
              <w:marTop w:val="0"/>
              <w:marBottom w:val="0"/>
              <w:divBdr>
                <w:top w:val="none" w:sz="0" w:space="0" w:color="auto"/>
                <w:left w:val="none" w:sz="0" w:space="0" w:color="auto"/>
                <w:bottom w:val="none" w:sz="0" w:space="0" w:color="auto"/>
                <w:right w:val="none" w:sz="0" w:space="0" w:color="auto"/>
              </w:divBdr>
            </w:div>
            <w:div w:id="539822781">
              <w:marLeft w:val="0"/>
              <w:marRight w:val="0"/>
              <w:marTop w:val="0"/>
              <w:marBottom w:val="0"/>
              <w:divBdr>
                <w:top w:val="none" w:sz="0" w:space="0" w:color="auto"/>
                <w:left w:val="none" w:sz="0" w:space="0" w:color="auto"/>
                <w:bottom w:val="none" w:sz="0" w:space="0" w:color="auto"/>
                <w:right w:val="none" w:sz="0" w:space="0" w:color="auto"/>
              </w:divBdr>
            </w:div>
          </w:divsChild>
        </w:div>
        <w:div w:id="98528409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44745613">
              <w:marLeft w:val="0"/>
              <w:marRight w:val="0"/>
              <w:marTop w:val="0"/>
              <w:marBottom w:val="0"/>
              <w:divBdr>
                <w:top w:val="none" w:sz="0" w:space="0" w:color="auto"/>
                <w:left w:val="none" w:sz="0" w:space="0" w:color="auto"/>
                <w:bottom w:val="none" w:sz="0" w:space="0" w:color="auto"/>
                <w:right w:val="none" w:sz="0" w:space="0" w:color="auto"/>
              </w:divBdr>
              <w:divsChild>
                <w:div w:id="5802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0505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570386131">
              <w:marLeft w:val="0"/>
              <w:marRight w:val="0"/>
              <w:marTop w:val="0"/>
              <w:marBottom w:val="0"/>
              <w:divBdr>
                <w:top w:val="none" w:sz="0" w:space="0" w:color="auto"/>
                <w:left w:val="none" w:sz="0" w:space="0" w:color="auto"/>
                <w:bottom w:val="none" w:sz="0" w:space="0" w:color="auto"/>
                <w:right w:val="none" w:sz="0" w:space="0" w:color="auto"/>
              </w:divBdr>
              <w:divsChild>
                <w:div w:id="342559182">
                  <w:marLeft w:val="0"/>
                  <w:marRight w:val="0"/>
                  <w:marTop w:val="0"/>
                  <w:marBottom w:val="0"/>
                  <w:divBdr>
                    <w:top w:val="none" w:sz="0" w:space="0" w:color="auto"/>
                    <w:left w:val="none" w:sz="0" w:space="0" w:color="auto"/>
                    <w:bottom w:val="none" w:sz="0" w:space="0" w:color="auto"/>
                    <w:right w:val="none" w:sz="0" w:space="0" w:color="auto"/>
                  </w:divBdr>
                </w:div>
              </w:divsChild>
            </w:div>
            <w:div w:id="1607692734">
              <w:marLeft w:val="0"/>
              <w:marRight w:val="0"/>
              <w:marTop w:val="0"/>
              <w:marBottom w:val="0"/>
              <w:divBdr>
                <w:top w:val="none" w:sz="0" w:space="0" w:color="auto"/>
                <w:left w:val="none" w:sz="0" w:space="0" w:color="auto"/>
                <w:bottom w:val="none" w:sz="0" w:space="0" w:color="auto"/>
                <w:right w:val="none" w:sz="0" w:space="0" w:color="auto"/>
              </w:divBdr>
              <w:divsChild>
                <w:div w:id="1597595053">
                  <w:marLeft w:val="0"/>
                  <w:marRight w:val="0"/>
                  <w:marTop w:val="0"/>
                  <w:marBottom w:val="0"/>
                  <w:divBdr>
                    <w:top w:val="none" w:sz="0" w:space="0" w:color="auto"/>
                    <w:left w:val="none" w:sz="0" w:space="0" w:color="auto"/>
                    <w:bottom w:val="none" w:sz="0" w:space="0" w:color="auto"/>
                    <w:right w:val="none" w:sz="0" w:space="0" w:color="auto"/>
                  </w:divBdr>
                </w:div>
              </w:divsChild>
            </w:div>
            <w:div w:id="763068193">
              <w:marLeft w:val="0"/>
              <w:marRight w:val="0"/>
              <w:marTop w:val="0"/>
              <w:marBottom w:val="0"/>
              <w:divBdr>
                <w:top w:val="none" w:sz="0" w:space="0" w:color="auto"/>
                <w:left w:val="none" w:sz="0" w:space="0" w:color="auto"/>
                <w:bottom w:val="none" w:sz="0" w:space="0" w:color="auto"/>
                <w:right w:val="none" w:sz="0" w:space="0" w:color="auto"/>
              </w:divBdr>
            </w:div>
          </w:divsChild>
        </w:div>
        <w:div w:id="722946401">
          <w:marLeft w:val="0"/>
          <w:marRight w:val="0"/>
          <w:marTop w:val="0"/>
          <w:marBottom w:val="0"/>
          <w:divBdr>
            <w:top w:val="none" w:sz="0" w:space="0" w:color="auto"/>
            <w:left w:val="none" w:sz="0" w:space="0" w:color="auto"/>
            <w:bottom w:val="none" w:sz="0" w:space="0" w:color="auto"/>
            <w:right w:val="none" w:sz="0" w:space="0" w:color="auto"/>
          </w:divBdr>
        </w:div>
        <w:div w:id="99210671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3805880">
              <w:marLeft w:val="0"/>
              <w:marRight w:val="0"/>
              <w:marTop w:val="0"/>
              <w:marBottom w:val="0"/>
              <w:divBdr>
                <w:top w:val="none" w:sz="0" w:space="0" w:color="auto"/>
                <w:left w:val="none" w:sz="0" w:space="0" w:color="auto"/>
                <w:bottom w:val="none" w:sz="0" w:space="0" w:color="auto"/>
                <w:right w:val="none" w:sz="0" w:space="0" w:color="auto"/>
              </w:divBdr>
            </w:div>
            <w:div w:id="1707559002">
              <w:marLeft w:val="0"/>
              <w:marRight w:val="0"/>
              <w:marTop w:val="0"/>
              <w:marBottom w:val="0"/>
              <w:divBdr>
                <w:top w:val="none" w:sz="0" w:space="0" w:color="auto"/>
                <w:left w:val="none" w:sz="0" w:space="0" w:color="auto"/>
                <w:bottom w:val="none" w:sz="0" w:space="0" w:color="auto"/>
                <w:right w:val="none" w:sz="0" w:space="0" w:color="auto"/>
              </w:divBdr>
            </w:div>
            <w:div w:id="1302732760">
              <w:marLeft w:val="0"/>
              <w:marRight w:val="0"/>
              <w:marTop w:val="0"/>
              <w:marBottom w:val="0"/>
              <w:divBdr>
                <w:top w:val="none" w:sz="0" w:space="0" w:color="auto"/>
                <w:left w:val="none" w:sz="0" w:space="0" w:color="auto"/>
                <w:bottom w:val="none" w:sz="0" w:space="0" w:color="auto"/>
                <w:right w:val="none" w:sz="0" w:space="0" w:color="auto"/>
              </w:divBdr>
            </w:div>
          </w:divsChild>
        </w:div>
        <w:div w:id="250479984">
          <w:marLeft w:val="0"/>
          <w:marRight w:val="0"/>
          <w:marTop w:val="0"/>
          <w:marBottom w:val="0"/>
          <w:divBdr>
            <w:top w:val="none" w:sz="0" w:space="0" w:color="auto"/>
            <w:left w:val="none" w:sz="0" w:space="0" w:color="auto"/>
            <w:bottom w:val="none" w:sz="0" w:space="0" w:color="auto"/>
            <w:right w:val="none" w:sz="0" w:space="0" w:color="auto"/>
          </w:divBdr>
        </w:div>
      </w:divsChild>
    </w:div>
    <w:div w:id="66270450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91974826">
      <w:bodyDiv w:val="1"/>
      <w:marLeft w:val="0"/>
      <w:marRight w:val="0"/>
      <w:marTop w:val="0"/>
      <w:marBottom w:val="0"/>
      <w:divBdr>
        <w:top w:val="none" w:sz="0" w:space="0" w:color="auto"/>
        <w:left w:val="none" w:sz="0" w:space="0" w:color="auto"/>
        <w:bottom w:val="none" w:sz="0" w:space="0" w:color="auto"/>
        <w:right w:val="none" w:sz="0" w:space="0" w:color="auto"/>
      </w:divBdr>
    </w:div>
    <w:div w:id="1259487724">
      <w:bodyDiv w:val="1"/>
      <w:marLeft w:val="0"/>
      <w:marRight w:val="0"/>
      <w:marTop w:val="0"/>
      <w:marBottom w:val="0"/>
      <w:divBdr>
        <w:top w:val="none" w:sz="0" w:space="0" w:color="auto"/>
        <w:left w:val="none" w:sz="0" w:space="0" w:color="auto"/>
        <w:bottom w:val="none" w:sz="0" w:space="0" w:color="auto"/>
        <w:right w:val="none" w:sz="0" w:space="0" w:color="auto"/>
      </w:divBdr>
    </w:div>
    <w:div w:id="1304383768">
      <w:bodyDiv w:val="1"/>
      <w:marLeft w:val="0"/>
      <w:marRight w:val="0"/>
      <w:marTop w:val="0"/>
      <w:marBottom w:val="0"/>
      <w:divBdr>
        <w:top w:val="none" w:sz="0" w:space="0" w:color="auto"/>
        <w:left w:val="none" w:sz="0" w:space="0" w:color="auto"/>
        <w:bottom w:val="none" w:sz="0" w:space="0" w:color="auto"/>
        <w:right w:val="none" w:sz="0" w:space="0" w:color="auto"/>
      </w:divBdr>
    </w:div>
    <w:div w:id="1445611452">
      <w:bodyDiv w:val="1"/>
      <w:marLeft w:val="0"/>
      <w:marRight w:val="0"/>
      <w:marTop w:val="0"/>
      <w:marBottom w:val="0"/>
      <w:divBdr>
        <w:top w:val="none" w:sz="0" w:space="0" w:color="auto"/>
        <w:left w:val="none" w:sz="0" w:space="0" w:color="auto"/>
        <w:bottom w:val="none" w:sz="0" w:space="0" w:color="auto"/>
        <w:right w:val="none" w:sz="0" w:space="0" w:color="auto"/>
      </w:divBdr>
    </w:div>
    <w:div w:id="1471089823">
      <w:bodyDiv w:val="1"/>
      <w:marLeft w:val="0"/>
      <w:marRight w:val="0"/>
      <w:marTop w:val="0"/>
      <w:marBottom w:val="0"/>
      <w:divBdr>
        <w:top w:val="none" w:sz="0" w:space="0" w:color="auto"/>
        <w:left w:val="none" w:sz="0" w:space="0" w:color="auto"/>
        <w:bottom w:val="none" w:sz="0" w:space="0" w:color="auto"/>
        <w:right w:val="none" w:sz="0" w:space="0" w:color="auto"/>
      </w:divBdr>
      <w:divsChild>
        <w:div w:id="1846363741">
          <w:marLeft w:val="0"/>
          <w:marRight w:val="0"/>
          <w:marTop w:val="0"/>
          <w:marBottom w:val="0"/>
          <w:divBdr>
            <w:top w:val="none" w:sz="0" w:space="0" w:color="auto"/>
            <w:left w:val="none" w:sz="0" w:space="0" w:color="auto"/>
            <w:bottom w:val="none" w:sz="0" w:space="0" w:color="auto"/>
            <w:right w:val="none" w:sz="0" w:space="0" w:color="auto"/>
          </w:divBdr>
        </w:div>
        <w:div w:id="7466930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85615910">
              <w:marLeft w:val="0"/>
              <w:marRight w:val="0"/>
              <w:marTop w:val="0"/>
              <w:marBottom w:val="0"/>
              <w:divBdr>
                <w:top w:val="none" w:sz="0" w:space="0" w:color="auto"/>
                <w:left w:val="none" w:sz="0" w:space="0" w:color="auto"/>
                <w:bottom w:val="none" w:sz="0" w:space="0" w:color="auto"/>
                <w:right w:val="none" w:sz="0" w:space="0" w:color="auto"/>
              </w:divBdr>
            </w:div>
          </w:divsChild>
        </w:div>
        <w:div w:id="1688016965">
          <w:marLeft w:val="0"/>
          <w:marRight w:val="0"/>
          <w:marTop w:val="0"/>
          <w:marBottom w:val="0"/>
          <w:divBdr>
            <w:top w:val="none" w:sz="0" w:space="0" w:color="auto"/>
            <w:left w:val="none" w:sz="0" w:space="0" w:color="auto"/>
            <w:bottom w:val="none" w:sz="0" w:space="0" w:color="auto"/>
            <w:right w:val="none" w:sz="0" w:space="0" w:color="auto"/>
          </w:divBdr>
        </w:div>
        <w:div w:id="10808402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1882078">
              <w:marLeft w:val="0"/>
              <w:marRight w:val="0"/>
              <w:marTop w:val="0"/>
              <w:marBottom w:val="0"/>
              <w:divBdr>
                <w:top w:val="none" w:sz="0" w:space="0" w:color="auto"/>
                <w:left w:val="none" w:sz="0" w:space="0" w:color="auto"/>
                <w:bottom w:val="none" w:sz="0" w:space="0" w:color="auto"/>
                <w:right w:val="none" w:sz="0" w:space="0" w:color="auto"/>
              </w:divBdr>
            </w:div>
          </w:divsChild>
        </w:div>
        <w:div w:id="1786073764">
          <w:marLeft w:val="0"/>
          <w:marRight w:val="0"/>
          <w:marTop w:val="0"/>
          <w:marBottom w:val="0"/>
          <w:divBdr>
            <w:top w:val="none" w:sz="0" w:space="0" w:color="auto"/>
            <w:left w:val="none" w:sz="0" w:space="0" w:color="auto"/>
            <w:bottom w:val="none" w:sz="0" w:space="0" w:color="auto"/>
            <w:right w:val="none" w:sz="0" w:space="0" w:color="auto"/>
          </w:divBdr>
          <w:divsChild>
            <w:div w:id="666639057">
              <w:marLeft w:val="0"/>
              <w:marRight w:val="0"/>
              <w:marTop w:val="0"/>
              <w:marBottom w:val="0"/>
              <w:divBdr>
                <w:top w:val="none" w:sz="0" w:space="0" w:color="auto"/>
                <w:left w:val="none" w:sz="0" w:space="0" w:color="auto"/>
                <w:bottom w:val="none" w:sz="0" w:space="0" w:color="auto"/>
                <w:right w:val="none" w:sz="0" w:space="0" w:color="auto"/>
              </w:divBdr>
            </w:div>
            <w:div w:id="1427582103">
              <w:marLeft w:val="0"/>
              <w:marRight w:val="0"/>
              <w:marTop w:val="0"/>
              <w:marBottom w:val="0"/>
              <w:divBdr>
                <w:top w:val="none" w:sz="0" w:space="0" w:color="auto"/>
                <w:left w:val="none" w:sz="0" w:space="0" w:color="auto"/>
                <w:bottom w:val="none" w:sz="0" w:space="0" w:color="auto"/>
                <w:right w:val="none" w:sz="0" w:space="0" w:color="auto"/>
              </w:divBdr>
            </w:div>
            <w:div w:id="1136987660">
              <w:marLeft w:val="0"/>
              <w:marRight w:val="0"/>
              <w:marTop w:val="0"/>
              <w:marBottom w:val="0"/>
              <w:divBdr>
                <w:top w:val="none" w:sz="0" w:space="0" w:color="auto"/>
                <w:left w:val="none" w:sz="0" w:space="0" w:color="auto"/>
                <w:bottom w:val="none" w:sz="0" w:space="0" w:color="auto"/>
                <w:right w:val="none" w:sz="0" w:space="0" w:color="auto"/>
              </w:divBdr>
            </w:div>
          </w:divsChild>
        </w:div>
        <w:div w:id="28439055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sChild>
                <w:div w:id="2712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58734">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39829040">
              <w:marLeft w:val="0"/>
              <w:marRight w:val="0"/>
              <w:marTop w:val="0"/>
              <w:marBottom w:val="0"/>
              <w:divBdr>
                <w:top w:val="none" w:sz="0" w:space="0" w:color="auto"/>
                <w:left w:val="none" w:sz="0" w:space="0" w:color="auto"/>
                <w:bottom w:val="none" w:sz="0" w:space="0" w:color="auto"/>
                <w:right w:val="none" w:sz="0" w:space="0" w:color="auto"/>
              </w:divBdr>
              <w:divsChild>
                <w:div w:id="416093839">
                  <w:marLeft w:val="0"/>
                  <w:marRight w:val="0"/>
                  <w:marTop w:val="0"/>
                  <w:marBottom w:val="0"/>
                  <w:divBdr>
                    <w:top w:val="none" w:sz="0" w:space="0" w:color="auto"/>
                    <w:left w:val="none" w:sz="0" w:space="0" w:color="auto"/>
                    <w:bottom w:val="none" w:sz="0" w:space="0" w:color="auto"/>
                    <w:right w:val="none" w:sz="0" w:space="0" w:color="auto"/>
                  </w:divBdr>
                </w:div>
              </w:divsChild>
            </w:div>
            <w:div w:id="1861703362">
              <w:marLeft w:val="0"/>
              <w:marRight w:val="0"/>
              <w:marTop w:val="0"/>
              <w:marBottom w:val="0"/>
              <w:divBdr>
                <w:top w:val="none" w:sz="0" w:space="0" w:color="auto"/>
                <w:left w:val="none" w:sz="0" w:space="0" w:color="auto"/>
                <w:bottom w:val="none" w:sz="0" w:space="0" w:color="auto"/>
                <w:right w:val="none" w:sz="0" w:space="0" w:color="auto"/>
              </w:divBdr>
              <w:divsChild>
                <w:div w:id="1648893793">
                  <w:marLeft w:val="0"/>
                  <w:marRight w:val="0"/>
                  <w:marTop w:val="0"/>
                  <w:marBottom w:val="0"/>
                  <w:divBdr>
                    <w:top w:val="none" w:sz="0" w:space="0" w:color="auto"/>
                    <w:left w:val="none" w:sz="0" w:space="0" w:color="auto"/>
                    <w:bottom w:val="none" w:sz="0" w:space="0" w:color="auto"/>
                    <w:right w:val="none" w:sz="0" w:space="0" w:color="auto"/>
                  </w:divBdr>
                </w:div>
              </w:divsChild>
            </w:div>
            <w:div w:id="2086294894">
              <w:marLeft w:val="0"/>
              <w:marRight w:val="0"/>
              <w:marTop w:val="0"/>
              <w:marBottom w:val="0"/>
              <w:divBdr>
                <w:top w:val="none" w:sz="0" w:space="0" w:color="auto"/>
                <w:left w:val="none" w:sz="0" w:space="0" w:color="auto"/>
                <w:bottom w:val="none" w:sz="0" w:space="0" w:color="auto"/>
                <w:right w:val="none" w:sz="0" w:space="0" w:color="auto"/>
              </w:divBdr>
            </w:div>
          </w:divsChild>
        </w:div>
        <w:div w:id="1302730597">
          <w:marLeft w:val="0"/>
          <w:marRight w:val="0"/>
          <w:marTop w:val="0"/>
          <w:marBottom w:val="0"/>
          <w:divBdr>
            <w:top w:val="none" w:sz="0" w:space="0" w:color="auto"/>
            <w:left w:val="none" w:sz="0" w:space="0" w:color="auto"/>
            <w:bottom w:val="none" w:sz="0" w:space="0" w:color="auto"/>
            <w:right w:val="none" w:sz="0" w:space="0" w:color="auto"/>
          </w:divBdr>
        </w:div>
        <w:div w:id="98751933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93885153">
              <w:marLeft w:val="0"/>
              <w:marRight w:val="0"/>
              <w:marTop w:val="0"/>
              <w:marBottom w:val="0"/>
              <w:divBdr>
                <w:top w:val="none" w:sz="0" w:space="0" w:color="auto"/>
                <w:left w:val="none" w:sz="0" w:space="0" w:color="auto"/>
                <w:bottom w:val="none" w:sz="0" w:space="0" w:color="auto"/>
                <w:right w:val="none" w:sz="0" w:space="0" w:color="auto"/>
              </w:divBdr>
            </w:div>
            <w:div w:id="1400786228">
              <w:marLeft w:val="0"/>
              <w:marRight w:val="0"/>
              <w:marTop w:val="0"/>
              <w:marBottom w:val="0"/>
              <w:divBdr>
                <w:top w:val="none" w:sz="0" w:space="0" w:color="auto"/>
                <w:left w:val="none" w:sz="0" w:space="0" w:color="auto"/>
                <w:bottom w:val="none" w:sz="0" w:space="0" w:color="auto"/>
                <w:right w:val="none" w:sz="0" w:space="0" w:color="auto"/>
              </w:divBdr>
            </w:div>
            <w:div w:id="1665162278">
              <w:marLeft w:val="0"/>
              <w:marRight w:val="0"/>
              <w:marTop w:val="0"/>
              <w:marBottom w:val="0"/>
              <w:divBdr>
                <w:top w:val="none" w:sz="0" w:space="0" w:color="auto"/>
                <w:left w:val="none" w:sz="0" w:space="0" w:color="auto"/>
                <w:bottom w:val="none" w:sz="0" w:space="0" w:color="auto"/>
                <w:right w:val="none" w:sz="0" w:space="0" w:color="auto"/>
              </w:divBdr>
            </w:div>
          </w:divsChild>
        </w:div>
        <w:div w:id="358701294">
          <w:marLeft w:val="0"/>
          <w:marRight w:val="0"/>
          <w:marTop w:val="0"/>
          <w:marBottom w:val="0"/>
          <w:divBdr>
            <w:top w:val="none" w:sz="0" w:space="0" w:color="auto"/>
            <w:left w:val="none" w:sz="0" w:space="0" w:color="auto"/>
            <w:bottom w:val="none" w:sz="0" w:space="0" w:color="auto"/>
            <w:right w:val="none" w:sz="0" w:space="0" w:color="auto"/>
          </w:divBdr>
        </w:div>
      </w:divsChild>
    </w:div>
    <w:div w:id="1729259237">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 w:id="1975600115">
      <w:bodyDiv w:val="1"/>
      <w:marLeft w:val="0"/>
      <w:marRight w:val="0"/>
      <w:marTop w:val="0"/>
      <w:marBottom w:val="0"/>
      <w:divBdr>
        <w:top w:val="none" w:sz="0" w:space="0" w:color="auto"/>
        <w:left w:val="none" w:sz="0" w:space="0" w:color="auto"/>
        <w:bottom w:val="none" w:sz="0" w:space="0" w:color="auto"/>
        <w:right w:val="none" w:sz="0" w:space="0" w:color="auto"/>
      </w:divBdr>
      <w:divsChild>
        <w:div w:id="147133229">
          <w:marLeft w:val="0"/>
          <w:marRight w:val="0"/>
          <w:marTop w:val="0"/>
          <w:marBottom w:val="0"/>
          <w:divBdr>
            <w:top w:val="none" w:sz="0" w:space="0" w:color="auto"/>
            <w:left w:val="none" w:sz="0" w:space="0" w:color="auto"/>
            <w:bottom w:val="none" w:sz="0" w:space="0" w:color="auto"/>
            <w:right w:val="none" w:sz="0" w:space="0" w:color="auto"/>
          </w:divBdr>
        </w:div>
        <w:div w:id="204833541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95766509">
              <w:marLeft w:val="0"/>
              <w:marRight w:val="0"/>
              <w:marTop w:val="0"/>
              <w:marBottom w:val="0"/>
              <w:divBdr>
                <w:top w:val="none" w:sz="0" w:space="0" w:color="auto"/>
                <w:left w:val="none" w:sz="0" w:space="0" w:color="auto"/>
                <w:bottom w:val="none" w:sz="0" w:space="0" w:color="auto"/>
                <w:right w:val="none" w:sz="0" w:space="0" w:color="auto"/>
              </w:divBdr>
            </w:div>
          </w:divsChild>
        </w:div>
        <w:div w:id="1566259809">
          <w:marLeft w:val="0"/>
          <w:marRight w:val="0"/>
          <w:marTop w:val="0"/>
          <w:marBottom w:val="0"/>
          <w:divBdr>
            <w:top w:val="none" w:sz="0" w:space="0" w:color="auto"/>
            <w:left w:val="none" w:sz="0" w:space="0" w:color="auto"/>
            <w:bottom w:val="none" w:sz="0" w:space="0" w:color="auto"/>
            <w:right w:val="none" w:sz="0" w:space="0" w:color="auto"/>
          </w:divBdr>
        </w:div>
        <w:div w:id="8605581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04410641">
              <w:marLeft w:val="0"/>
              <w:marRight w:val="0"/>
              <w:marTop w:val="0"/>
              <w:marBottom w:val="0"/>
              <w:divBdr>
                <w:top w:val="none" w:sz="0" w:space="0" w:color="auto"/>
                <w:left w:val="none" w:sz="0" w:space="0" w:color="auto"/>
                <w:bottom w:val="none" w:sz="0" w:space="0" w:color="auto"/>
                <w:right w:val="none" w:sz="0" w:space="0" w:color="auto"/>
              </w:divBdr>
            </w:div>
          </w:divsChild>
        </w:div>
        <w:div w:id="142891434">
          <w:marLeft w:val="0"/>
          <w:marRight w:val="0"/>
          <w:marTop w:val="0"/>
          <w:marBottom w:val="0"/>
          <w:divBdr>
            <w:top w:val="none" w:sz="0" w:space="0" w:color="auto"/>
            <w:left w:val="none" w:sz="0" w:space="0" w:color="auto"/>
            <w:bottom w:val="none" w:sz="0" w:space="0" w:color="auto"/>
            <w:right w:val="none" w:sz="0" w:space="0" w:color="auto"/>
          </w:divBdr>
          <w:divsChild>
            <w:div w:id="77098509">
              <w:marLeft w:val="0"/>
              <w:marRight w:val="0"/>
              <w:marTop w:val="0"/>
              <w:marBottom w:val="0"/>
              <w:divBdr>
                <w:top w:val="none" w:sz="0" w:space="0" w:color="auto"/>
                <w:left w:val="none" w:sz="0" w:space="0" w:color="auto"/>
                <w:bottom w:val="none" w:sz="0" w:space="0" w:color="auto"/>
                <w:right w:val="none" w:sz="0" w:space="0" w:color="auto"/>
              </w:divBdr>
            </w:div>
            <w:div w:id="315844656">
              <w:marLeft w:val="0"/>
              <w:marRight w:val="0"/>
              <w:marTop w:val="0"/>
              <w:marBottom w:val="0"/>
              <w:divBdr>
                <w:top w:val="none" w:sz="0" w:space="0" w:color="auto"/>
                <w:left w:val="none" w:sz="0" w:space="0" w:color="auto"/>
                <w:bottom w:val="none" w:sz="0" w:space="0" w:color="auto"/>
                <w:right w:val="none" w:sz="0" w:space="0" w:color="auto"/>
              </w:divBdr>
            </w:div>
            <w:div w:id="801732306">
              <w:marLeft w:val="0"/>
              <w:marRight w:val="0"/>
              <w:marTop w:val="0"/>
              <w:marBottom w:val="0"/>
              <w:divBdr>
                <w:top w:val="none" w:sz="0" w:space="0" w:color="auto"/>
                <w:left w:val="none" w:sz="0" w:space="0" w:color="auto"/>
                <w:bottom w:val="none" w:sz="0" w:space="0" w:color="auto"/>
                <w:right w:val="none" w:sz="0" w:space="0" w:color="auto"/>
              </w:divBdr>
            </w:div>
          </w:divsChild>
        </w:div>
        <w:div w:id="103364842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24786822">
              <w:marLeft w:val="0"/>
              <w:marRight w:val="0"/>
              <w:marTop w:val="0"/>
              <w:marBottom w:val="0"/>
              <w:divBdr>
                <w:top w:val="none" w:sz="0" w:space="0" w:color="auto"/>
                <w:left w:val="none" w:sz="0" w:space="0" w:color="auto"/>
                <w:bottom w:val="none" w:sz="0" w:space="0" w:color="auto"/>
                <w:right w:val="none" w:sz="0" w:space="0" w:color="auto"/>
              </w:divBdr>
              <w:divsChild>
                <w:div w:id="20956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563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50446886">
              <w:marLeft w:val="0"/>
              <w:marRight w:val="0"/>
              <w:marTop w:val="0"/>
              <w:marBottom w:val="0"/>
              <w:divBdr>
                <w:top w:val="none" w:sz="0" w:space="0" w:color="auto"/>
                <w:left w:val="none" w:sz="0" w:space="0" w:color="auto"/>
                <w:bottom w:val="none" w:sz="0" w:space="0" w:color="auto"/>
                <w:right w:val="none" w:sz="0" w:space="0" w:color="auto"/>
              </w:divBdr>
              <w:divsChild>
                <w:div w:id="76757105">
                  <w:marLeft w:val="0"/>
                  <w:marRight w:val="0"/>
                  <w:marTop w:val="0"/>
                  <w:marBottom w:val="0"/>
                  <w:divBdr>
                    <w:top w:val="none" w:sz="0" w:space="0" w:color="auto"/>
                    <w:left w:val="none" w:sz="0" w:space="0" w:color="auto"/>
                    <w:bottom w:val="none" w:sz="0" w:space="0" w:color="auto"/>
                    <w:right w:val="none" w:sz="0" w:space="0" w:color="auto"/>
                  </w:divBdr>
                </w:div>
              </w:divsChild>
            </w:div>
            <w:div w:id="1047341783">
              <w:marLeft w:val="0"/>
              <w:marRight w:val="0"/>
              <w:marTop w:val="0"/>
              <w:marBottom w:val="0"/>
              <w:divBdr>
                <w:top w:val="none" w:sz="0" w:space="0" w:color="auto"/>
                <w:left w:val="none" w:sz="0" w:space="0" w:color="auto"/>
                <w:bottom w:val="none" w:sz="0" w:space="0" w:color="auto"/>
                <w:right w:val="none" w:sz="0" w:space="0" w:color="auto"/>
              </w:divBdr>
              <w:divsChild>
                <w:div w:id="1836846666">
                  <w:marLeft w:val="0"/>
                  <w:marRight w:val="0"/>
                  <w:marTop w:val="0"/>
                  <w:marBottom w:val="0"/>
                  <w:divBdr>
                    <w:top w:val="none" w:sz="0" w:space="0" w:color="auto"/>
                    <w:left w:val="none" w:sz="0" w:space="0" w:color="auto"/>
                    <w:bottom w:val="none" w:sz="0" w:space="0" w:color="auto"/>
                    <w:right w:val="none" w:sz="0" w:space="0" w:color="auto"/>
                  </w:divBdr>
                </w:div>
              </w:divsChild>
            </w:div>
            <w:div w:id="2075929202">
              <w:marLeft w:val="0"/>
              <w:marRight w:val="0"/>
              <w:marTop w:val="0"/>
              <w:marBottom w:val="0"/>
              <w:divBdr>
                <w:top w:val="none" w:sz="0" w:space="0" w:color="auto"/>
                <w:left w:val="none" w:sz="0" w:space="0" w:color="auto"/>
                <w:bottom w:val="none" w:sz="0" w:space="0" w:color="auto"/>
                <w:right w:val="none" w:sz="0" w:space="0" w:color="auto"/>
              </w:divBdr>
            </w:div>
          </w:divsChild>
        </w:div>
        <w:div w:id="252785543">
          <w:marLeft w:val="0"/>
          <w:marRight w:val="0"/>
          <w:marTop w:val="0"/>
          <w:marBottom w:val="0"/>
          <w:divBdr>
            <w:top w:val="none" w:sz="0" w:space="0" w:color="auto"/>
            <w:left w:val="none" w:sz="0" w:space="0" w:color="auto"/>
            <w:bottom w:val="none" w:sz="0" w:space="0" w:color="auto"/>
            <w:right w:val="none" w:sz="0" w:space="0" w:color="auto"/>
          </w:divBdr>
        </w:div>
        <w:div w:id="209762809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63995543">
              <w:marLeft w:val="0"/>
              <w:marRight w:val="0"/>
              <w:marTop w:val="0"/>
              <w:marBottom w:val="0"/>
              <w:divBdr>
                <w:top w:val="none" w:sz="0" w:space="0" w:color="auto"/>
                <w:left w:val="none" w:sz="0" w:space="0" w:color="auto"/>
                <w:bottom w:val="none" w:sz="0" w:space="0" w:color="auto"/>
                <w:right w:val="none" w:sz="0" w:space="0" w:color="auto"/>
              </w:divBdr>
            </w:div>
            <w:div w:id="1260064668">
              <w:marLeft w:val="0"/>
              <w:marRight w:val="0"/>
              <w:marTop w:val="0"/>
              <w:marBottom w:val="0"/>
              <w:divBdr>
                <w:top w:val="none" w:sz="0" w:space="0" w:color="auto"/>
                <w:left w:val="none" w:sz="0" w:space="0" w:color="auto"/>
                <w:bottom w:val="none" w:sz="0" w:space="0" w:color="auto"/>
                <w:right w:val="none" w:sz="0" w:space="0" w:color="auto"/>
              </w:divBdr>
            </w:div>
            <w:div w:id="1664504481">
              <w:marLeft w:val="0"/>
              <w:marRight w:val="0"/>
              <w:marTop w:val="0"/>
              <w:marBottom w:val="0"/>
              <w:divBdr>
                <w:top w:val="none" w:sz="0" w:space="0" w:color="auto"/>
                <w:left w:val="none" w:sz="0" w:space="0" w:color="auto"/>
                <w:bottom w:val="none" w:sz="0" w:space="0" w:color="auto"/>
                <w:right w:val="none" w:sz="0" w:space="0" w:color="auto"/>
              </w:divBdr>
            </w:div>
          </w:divsChild>
        </w:div>
        <w:div w:id="400756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5</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10730</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Yunjung Yi</cp:lastModifiedBy>
  <cp:revision>4</cp:revision>
  <cp:lastPrinted>2000-02-29T06:01:00Z</cp:lastPrinted>
  <dcterms:created xsi:type="dcterms:W3CDTF">2024-03-08T14:19:00Z</dcterms:created>
  <dcterms:modified xsi:type="dcterms:W3CDTF">2024-03-11T16:25:00Z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